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Firm-wide AML risk assessment</w:t>
      </w:r>
    </w:p>
    <w:p>
      <w:pPr>
        <w:spacing w:after="240"/>
      </w:pPr>
      <w:r>
        <w:rPr>
          <w:color w:val="5F6663"/>
          <w:sz w:val="24"/>
          <w:szCs w:val="24"/>
        </w:rPr>
        <w:t xml:space="preserve">Template for a practice-wide or business-wide risk assessment under MLR 2017 regulation 18, with a scoring table</w:t>
      </w:r>
    </w:p>
    <w:tbl>
      <w:tblPr>
        <w:tblW w:type="dxa" w:w="9638"/>
        <w:tblBorders>
          <w:top w:val="none" w:color="FFFFFF" w:sz="0"/>
          <w:left w:val="single" w:color="0E3B2C" w:sz="24"/>
          <w:bottom w:val="none" w:color="FFFFFF" w:sz="0"/>
          <w:right w:val="none" w:color="FFFFFF" w:sz="0"/>
          <w:insideH w:val="none" w:color="FFFFFF" w:sz="0"/>
          <w:insideV w:val="none" w:color="FFFFFF" w:sz="0"/>
        </w:tblBorders>
      </w:tblPr>
      <w:tblGrid>
        <w:gridCol w:w="9638"/>
      </w:tblGrid>
      <w:tr>
        <w:tc>
          <w:tcPr>
            <w:tcW w:type="dxa" w:w="9638"/>
            <w:shd w:fill="F4F5F4" w:color="auto" w:val="clear"/>
            <w:tcMar>
              <w:top w:type="dxa" w:w="110"/>
              <w:left w:type="dxa" w:w="180"/>
              <w:bottom w:type="dxa" w:w="110"/>
              <w:right w:type="dxa" w:w="160"/>
            </w:tcMar>
          </w:tcPr>
          <w:p>
            <w:pPr>
              <w:spacing w:before="0" w:after="0"/>
            </w:pPr>
            <w:r>
              <w:rPr>
                <w:b/>
                <w:bCs/>
                <w:color w:val="0E3B2C"/>
                <w:sz w:val="19"/>
                <w:szCs w:val="19"/>
              </w:rPr>
              <w:t xml:space="preserve">Important: </w:t>
            </w:r>
            <w:r>
              <w:rPr>
                <w:sz w:val="19"/>
                <w:szCs w:val="19"/>
              </w:rPr>
              <w:t xml:space="preserve">This is a template to adapt, not legal advice. It reflects the Money Laundering Regulations 2017 as amended (including SI 2026/621, in force from 30 June 2026) and supervisor guidance published by 23 October 2026. Before you use it, check it against your AML supervisor’s current guidance (for example HMRC’s anti-money laundering guidance for supervised businesses, the CCAB guidance for the accountancy sector 2026 or the LSAG guidance 2025), adapt it to your own business and delete the guidance notes. Your firm remains responsible for its own compliance. Provided free, as is, without warranty.</w:t>
            </w:r>
          </w:p>
        </w:tc>
      </w:tr>
    </w:tbl>
    <w:p>
      <w:pPr>
        <w:spacing w:before="0" w:after="0"/>
      </w:pP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Firm name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[Firm name]</w:t>
            </w:r>
            <w:r>
              <w:rPr>
                <w:b w:val="false"/>
                <w:bCs w:val="false"/>
                <w:sz w:val="19"/>
                <w:szCs w:val="19"/>
              </w:rPr>
              <w:t xml:space="preserve"> (trading as </w:t>
            </w:r>
            <w:r>
              <w:rPr>
                <w:b w:val="false"/>
                <w:bCs w:val="false"/>
                <w:color w:val="0A7A52"/>
                <w:sz w:val="19"/>
                <w:szCs w:val="19"/>
              </w:rPr>
              <w:t xml:space="preserve">[trading name]</w:t>
            </w:r>
            <w:r>
              <w:rPr>
                <w:b w:val="false"/>
                <w:bCs w:val="false"/>
                <w:sz w:val="19"/>
                <w:szCs w:val="19"/>
              </w:rPr>
              <w:t xml:space="preserv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AML supervisor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[HMRC / professional body]</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Supervisor registration or membership number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[Number]</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Version</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[1.0]</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Prepared by</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Approved by (senior management)</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Date approved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Next review due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 no later than 12 months after approval]</w:t>
            </w:r>
          </w:p>
        </w:tc>
      </w:tr>
    </w:tbl>
    <w:p>
      <w:pPr>
        <w:spacing w:before="0" w:after="0"/>
      </w:pPr>
    </w:p>
    <w:p>
      <w:pPr>
        <w:pStyle w:val="Heading2"/>
      </w:pPr>
      <w:r>
        <w:t xml:space="preserve">How to use this template</w:t>
      </w:r>
    </w:p>
    <w:p>
      <w:pPr>
        <w:pStyle w:val="ListParagraph"/>
        <w:numPr>
          <w:ilvl w:val="0"/>
          <w:numId w:val="2"/>
        </w:numPr>
        <w:spacing w:after="60"/>
      </w:pPr>
      <w:r>
        <w:t xml:space="preserve">Replace every </w:t>
      </w:r>
      <w:r>
        <w:rPr>
          <w:color w:val="0A7A52"/>
        </w:rPr>
        <w:t xml:space="preserve">[square-bracket placeholder]</w:t>
      </w:r>
      <w:r>
        <w:t xml:space="preserve"> with your firm’s details. Delete options that do not apply.</w:t>
      </w:r>
    </w:p>
    <w:p>
      <w:pPr>
        <w:pStyle w:val="ListParagraph"/>
        <w:numPr>
          <w:ilvl w:val="0"/>
          <w:numId w:val="2"/>
        </w:numPr>
        <w:spacing w:after="60"/>
      </w:pPr>
      <w:r>
        <w:t xml:space="preserve">Read and then delete the shaded guidance notes before you finalise the document.</w:t>
      </w:r>
    </w:p>
    <w:p>
      <w:pPr>
        <w:pStyle w:val="ListParagraph"/>
        <w:numPr>
          <w:ilvl w:val="0"/>
          <w:numId w:val="2"/>
        </w:numPr>
        <w:spacing w:after="60"/>
      </w:pPr>
      <w:r>
        <w:t xml:space="preserve">Make it describe what your firm actually does. A supervisor will test your day-to-day practice against it, and a generic copy-and-paste document is a common inspection finding.</w:t>
      </w:r>
    </w:p>
    <w:p>
      <w:pPr>
        <w:pStyle w:val="ListParagraph"/>
        <w:numPr>
          <w:ilvl w:val="0"/>
          <w:numId w:val="2"/>
        </w:numPr>
        <w:spacing w:after="60"/>
      </w:pPr>
      <w:r>
        <w:t xml:space="preserve">Example risk factors are tagged </w:t>
      </w:r>
      <w:r>
        <w:rPr>
          <w:color w:val="0A7A52"/>
        </w:rPr>
        <w:t xml:space="preserve">[EA]</w:t>
      </w:r>
      <w:r>
        <w:t xml:space="preserve"> for estate and letting agents and </w:t>
      </w:r>
      <w:r>
        <w:rPr>
          <w:color w:val="0A7A52"/>
        </w:rPr>
        <w:t xml:space="preserve">[ACC]</w:t>
      </w:r>
      <w:r>
        <w:t xml:space="preserve"> for accountants and bookkeepers. Delete the ones that do not apply and add your own.</w:t>
      </w:r>
    </w:p>
    <w:p>
      <w:pPr>
        <w:pStyle w:val="ListParagraph"/>
        <w:numPr>
          <w:ilvl w:val="0"/>
          <w:numId w:val="2"/>
        </w:numPr>
        <w:spacing w:after="60"/>
      </w:pPr>
      <w:r>
        <w:t xml:space="preserve">Fill in the “How it applies to us” column with facts: numbers of clients, transaction values, percentages. That is the evidence a supervisor looks for.</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Regulation 18 requires you to take appropriate steps to identify and assess the risks your business faces, taking into account risk factors relating to your customers, the countries or geographic areas you operate in, your products or services, transactions and delivery channels, and information from your supervisor. You must keep an up-to-date written record and give it to your supervisor on request. HMRC expects the assessment to be reviewed at least annually and previous versions to be kept for at least 5 years (AMLG1800). Neither the regulations nor HMRC prescribe a scoring method: the scoring table below is one simple option (CCAB AMLGAS 4.5.6 also suggests a simple matrix).</w:t>
            </w:r>
          </w:p>
        </w:tc>
      </w:tr>
    </w:tbl>
    <w:p>
      <w:pPr>
        <w:spacing w:before="0" w:after="0"/>
      </w:pPr>
    </w:p>
    <w:p>
      <w:pPr>
        <w:pStyle w:val="Heading1"/>
      </w:pPr>
      <w:r>
        <w:t xml:space="preserve">1. About our business</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Services within the MLRs</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[e.g. residential sales, lettings over £10,000 a month / accounts, tax returns, payroll, company formation]</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Number of offices and staff</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Clients or transactions per year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[e.g. 180 sales, 40 buyers from abroad / 350 clients]</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Typical transaction or fee size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Where our clients are based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[e.g. 90% local, 8% elsewhere in UK, 2% overseas: list countries]</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How clients find us and how we deal with them</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[face to face / remote / via introducers / online portals]</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Changes since the last assessment</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[new services, new technology, new branches, staff changes]</w:t>
            </w:r>
          </w:p>
        </w:tc>
      </w:tr>
    </w:tbl>
    <w:p>
      <w:pPr>
        <w:spacing w:before="0" w:after="0"/>
      </w:pPr>
    </w:p>
    <w:p>
      <w:pPr>
        <w:pStyle w:val="Heading1"/>
      </w:pPr>
      <w:r>
        <w:t xml:space="preserve">2. Information we took into account</w:t>
      </w:r>
    </w:p>
    <w:p>
      <w:pPr>
        <w:tabs>
          <w:tab w:val="left" w:pos="400"/>
        </w:tabs>
        <w:spacing w:after="70"/>
        <w:ind w:left="400" w:hanging="400"/>
      </w:pPr>
      <w:r>
        <w:t xml:space="preserve">☐</w:t>
      </w:r>
      <w:r>
        <w:t xml:space="preserve">	</w:t>
      </w:r>
      <w:r>
        <w:t xml:space="preserve">Our supervisor’s guidance and sector risk assessment (HMRC AMLG Part 3: AMLG3200 estate agency, AMLG3300 letting agency, AMLG3700 accountancy service providers; or our professional body’s risk outlook)</w:t>
      </w:r>
    </w:p>
    <w:p>
      <w:pPr>
        <w:tabs>
          <w:tab w:val="left" w:pos="400"/>
        </w:tabs>
        <w:spacing w:after="70"/>
        <w:ind w:left="400" w:hanging="400"/>
      </w:pPr>
      <w:r>
        <w:t xml:space="preserve">☐</w:t>
      </w:r>
      <w:r>
        <w:t xml:space="preserve">	</w:t>
      </w:r>
      <w:r>
        <w:t xml:space="preserve">National risk assessment of money laundering and terrorist financing 2025 (estate agency rated medium risk for money laundering; accountancy service providers rated high)</w:t>
      </w:r>
    </w:p>
    <w:p>
      <w:pPr>
        <w:tabs>
          <w:tab w:val="left" w:pos="400"/>
        </w:tabs>
        <w:spacing w:after="70"/>
        <w:ind w:left="400" w:hanging="400"/>
      </w:pPr>
      <w:r>
        <w:t xml:space="preserve">☐</w:t>
      </w:r>
      <w:r>
        <w:t xml:space="preserve">	</w:t>
      </w:r>
      <w:r>
        <w:t xml:space="preserve">FATF list of high-risk jurisdictions subject to a call for action, latest edition dated </w:t>
      </w:r>
      <w:r>
        <w:rPr>
          <w:color w:val="0A7A52"/>
        </w:rPr>
        <w:t xml:space="preserve">[date]</w:t>
      </w:r>
    </w:p>
    <w:p>
      <w:pPr>
        <w:tabs>
          <w:tab w:val="left" w:pos="400"/>
        </w:tabs>
        <w:spacing w:after="70"/>
        <w:ind w:left="400" w:hanging="400"/>
      </w:pPr>
      <w:r>
        <w:t xml:space="preserve">☐</w:t>
      </w:r>
      <w:r>
        <w:t xml:space="preserve">	</w:t>
      </w:r>
      <w:r>
        <w:t xml:space="preserve">CCAB AMLGAS 2026 (accountants) / LSAG 2025 (legal sector)</w:t>
      </w:r>
    </w:p>
    <w:p>
      <w:pPr>
        <w:tabs>
          <w:tab w:val="left" w:pos="400"/>
        </w:tabs>
        <w:spacing w:after="70"/>
        <w:ind w:left="400" w:hanging="400"/>
      </w:pPr>
      <w:r>
        <w:t xml:space="preserve">☐</w:t>
      </w:r>
      <w:r>
        <w:t xml:space="preserve">	</w:t>
      </w:r>
      <w:r>
        <w:t xml:space="preserve">Our own data: client risk ratings, internal reports, SARs, inspection findings, file reviews</w:t>
      </w:r>
    </w:p>
    <w:p>
      <w:pPr>
        <w:tabs>
          <w:tab w:val="left" w:pos="400"/>
        </w:tabs>
        <w:spacing w:after="70"/>
        <w:ind w:left="400" w:hanging="400"/>
      </w:pPr>
      <w:r>
        <w:t xml:space="preserve">☐</w:t>
      </w:r>
      <w:r>
        <w:t xml:space="preserve">	</w:t>
      </w:r>
      <w:r>
        <w:rPr>
          <w:color w:val="0A7A52"/>
        </w:rPr>
        <w:t xml:space="preserve">[Other: trade body alerts, NCA amber alerts, adverse media]</w:t>
      </w:r>
    </w:p>
    <w:p>
      <w:pPr>
        <w:pStyle w:val="Heading1"/>
      </w:pPr>
      <w:r>
        <w:t xml:space="preserve">3. Scoring method</w:t>
      </w:r>
    </w:p>
    <w:p>
      <w:pPr>
        <w:spacing w:after="120"/>
      </w:pPr>
      <w:r>
        <w:t xml:space="preserve">For each risk factor we score how likely it is to be present or exploited in our business (likelihood) and how serious the consequence would be (impact). Score = likelihood × impact.</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071"/>
        <w:gridCol w:w="4284"/>
        <w:gridCol w:w="4284"/>
      </w:tblGrid>
      <w:tr>
        <w:trPr>
          <w:cantSplit/>
          <w:tblHeader/>
        </w:trPr>
        <w:tc>
          <w:tcPr>
            <w:tcW w:type="dxa" w:w="1071"/>
            <w:shd w:fill="0E3B2C" w:color="auto" w:val="clear"/>
            <w:tcMar>
              <w:top w:type="dxa" w:w="70"/>
              <w:left w:type="dxa" w:w="100"/>
              <w:bottom w:type="dxa" w:w="70"/>
              <w:right w:type="dxa" w:w="100"/>
            </w:tcMar>
          </w:tcPr>
          <w:p>
            <w:pPr>
              <w:spacing w:before="0" w:after="0"/>
            </w:pPr>
            <w:r>
              <w:rPr>
                <w:b/>
                <w:bCs/>
                <w:color w:val="FFFFFF"/>
                <w:sz w:val="19"/>
                <w:szCs w:val="19"/>
              </w:rPr>
              <w:t xml:space="preserve">Score</w:t>
            </w:r>
          </w:p>
        </w:tc>
        <w:tc>
          <w:tcPr>
            <w:tcW w:type="dxa" w:w="4284"/>
            <w:shd w:fill="0E3B2C" w:color="auto" w:val="clear"/>
            <w:tcMar>
              <w:top w:type="dxa" w:w="70"/>
              <w:left w:type="dxa" w:w="100"/>
              <w:bottom w:type="dxa" w:w="70"/>
              <w:right w:type="dxa" w:w="100"/>
            </w:tcMar>
          </w:tcPr>
          <w:p>
            <w:pPr>
              <w:spacing w:before="0" w:after="0"/>
            </w:pPr>
            <w:r>
              <w:rPr>
                <w:b/>
                <w:bCs/>
                <w:color w:val="FFFFFF"/>
                <w:sz w:val="19"/>
                <w:szCs w:val="19"/>
              </w:rPr>
              <w:t xml:space="preserve">Likelihood</w:t>
            </w:r>
          </w:p>
        </w:tc>
        <w:tc>
          <w:tcPr>
            <w:tcW w:type="dxa" w:w="4284"/>
            <w:shd w:fill="0E3B2C" w:color="auto" w:val="clear"/>
            <w:tcMar>
              <w:top w:type="dxa" w:w="70"/>
              <w:left w:type="dxa" w:w="100"/>
              <w:bottom w:type="dxa" w:w="70"/>
              <w:right w:type="dxa" w:w="100"/>
            </w:tcMar>
          </w:tcPr>
          <w:p>
            <w:pPr>
              <w:spacing w:before="0" w:after="0"/>
            </w:pPr>
            <w:r>
              <w:rPr>
                <w:b/>
                <w:bCs/>
                <w:color w:val="FFFFFF"/>
                <w:sz w:val="19"/>
                <w:szCs w:val="19"/>
              </w:rPr>
              <w:t xml:space="preserve">Impact</w:t>
            </w:r>
          </w:p>
        </w:tc>
      </w:tr>
      <w:tr>
        <w:trPr>
          <w:cantSplit/>
        </w:trPr>
        <w:tc>
          <w:tcPr>
            <w:tcW w:type="dxa" w:w="1071"/>
            <w:tcMar>
              <w:top w:type="dxa" w:w="70"/>
              <w:left w:type="dxa" w:w="100"/>
              <w:bottom w:type="dxa" w:w="70"/>
              <w:right w:type="dxa" w:w="100"/>
            </w:tcMar>
          </w:tcPr>
          <w:p>
            <w:pPr>
              <w:spacing w:before="0" w:after="0"/>
            </w:pPr>
            <w:r>
              <w:rPr>
                <w:b w:val="false"/>
                <w:bCs w:val="false"/>
                <w:sz w:val="19"/>
                <w:szCs w:val="19"/>
              </w:rPr>
              <w:t xml:space="preserve">1</w:t>
            </w:r>
          </w:p>
        </w:tc>
        <w:tc>
          <w:tcPr>
            <w:tcW w:type="dxa" w:w="4284"/>
            <w:tcMar>
              <w:top w:type="dxa" w:w="70"/>
              <w:left w:type="dxa" w:w="100"/>
              <w:bottom w:type="dxa" w:w="70"/>
              <w:right w:type="dxa" w:w="100"/>
            </w:tcMar>
          </w:tcPr>
          <w:p>
            <w:pPr>
              <w:spacing w:before="0" w:after="0"/>
            </w:pPr>
            <w:r>
              <w:rPr>
                <w:b w:val="false"/>
                <w:bCs w:val="false"/>
                <w:sz w:val="19"/>
                <w:szCs w:val="19"/>
              </w:rPr>
              <w:t xml:space="preserve">Unlikely: rare in our client base, no recent examples</w:t>
            </w:r>
          </w:p>
        </w:tc>
        <w:tc>
          <w:tcPr>
            <w:tcW w:type="dxa" w:w="4284"/>
            <w:tcMar>
              <w:top w:type="dxa" w:w="70"/>
              <w:left w:type="dxa" w:w="100"/>
              <w:bottom w:type="dxa" w:w="70"/>
              <w:right w:type="dxa" w:w="100"/>
            </w:tcMar>
          </w:tcPr>
          <w:p>
            <w:pPr>
              <w:spacing w:before="0" w:after="0"/>
            </w:pPr>
            <w:r>
              <w:rPr>
                <w:b w:val="false"/>
                <w:bCs w:val="false"/>
                <w:sz w:val="19"/>
                <w:szCs w:val="19"/>
              </w:rPr>
              <w:t xml:space="preserve">Minor: small sums, easily detected</w:t>
            </w:r>
          </w:p>
        </w:tc>
      </w:tr>
      <w:tr>
        <w:trPr>
          <w:cantSplit/>
        </w:trPr>
        <w:tc>
          <w:tcPr>
            <w:tcW w:type="dxa" w:w="1071"/>
            <w:tcMar>
              <w:top w:type="dxa" w:w="70"/>
              <w:left w:type="dxa" w:w="100"/>
              <w:bottom w:type="dxa" w:w="70"/>
              <w:right w:type="dxa" w:w="100"/>
            </w:tcMar>
          </w:tcPr>
          <w:p>
            <w:pPr>
              <w:spacing w:before="0" w:after="0"/>
            </w:pPr>
            <w:r>
              <w:rPr>
                <w:b w:val="false"/>
                <w:bCs w:val="false"/>
                <w:sz w:val="19"/>
                <w:szCs w:val="19"/>
              </w:rPr>
              <w:t xml:space="preserve">2</w:t>
            </w:r>
          </w:p>
        </w:tc>
        <w:tc>
          <w:tcPr>
            <w:tcW w:type="dxa" w:w="4284"/>
            <w:tcMar>
              <w:top w:type="dxa" w:w="70"/>
              <w:left w:type="dxa" w:w="100"/>
              <w:bottom w:type="dxa" w:w="70"/>
              <w:right w:type="dxa" w:w="100"/>
            </w:tcMar>
          </w:tcPr>
          <w:p>
            <w:pPr>
              <w:spacing w:before="0" w:after="0"/>
            </w:pPr>
            <w:r>
              <w:rPr>
                <w:b w:val="false"/>
                <w:bCs w:val="false"/>
                <w:sz w:val="19"/>
                <w:szCs w:val="19"/>
              </w:rPr>
              <w:t xml:space="preserve">Possible: occurs occasionally</w:t>
            </w:r>
          </w:p>
        </w:tc>
        <w:tc>
          <w:tcPr>
            <w:tcW w:type="dxa" w:w="4284"/>
            <w:tcMar>
              <w:top w:type="dxa" w:w="70"/>
              <w:left w:type="dxa" w:w="100"/>
              <w:bottom w:type="dxa" w:w="70"/>
              <w:right w:type="dxa" w:w="100"/>
            </w:tcMar>
          </w:tcPr>
          <w:p>
            <w:pPr>
              <w:spacing w:before="0" w:after="0"/>
            </w:pPr>
            <w:r>
              <w:rPr>
                <w:b w:val="false"/>
                <w:bCs w:val="false"/>
                <w:sz w:val="19"/>
                <w:szCs w:val="19"/>
              </w:rPr>
              <w:t xml:space="preserve">Moderate: significant sums or reputational damage</w:t>
            </w:r>
          </w:p>
        </w:tc>
      </w:tr>
      <w:tr>
        <w:trPr>
          <w:cantSplit/>
        </w:trPr>
        <w:tc>
          <w:tcPr>
            <w:tcW w:type="dxa" w:w="1071"/>
            <w:tcMar>
              <w:top w:type="dxa" w:w="70"/>
              <w:left w:type="dxa" w:w="100"/>
              <w:bottom w:type="dxa" w:w="70"/>
              <w:right w:type="dxa" w:w="100"/>
            </w:tcMar>
          </w:tcPr>
          <w:p>
            <w:pPr>
              <w:spacing w:before="0" w:after="0"/>
            </w:pPr>
            <w:r>
              <w:rPr>
                <w:b w:val="false"/>
                <w:bCs w:val="false"/>
                <w:sz w:val="19"/>
                <w:szCs w:val="19"/>
              </w:rPr>
              <w:t xml:space="preserve">3</w:t>
            </w:r>
          </w:p>
        </w:tc>
        <w:tc>
          <w:tcPr>
            <w:tcW w:type="dxa" w:w="4284"/>
            <w:tcMar>
              <w:top w:type="dxa" w:w="70"/>
              <w:left w:type="dxa" w:w="100"/>
              <w:bottom w:type="dxa" w:w="70"/>
              <w:right w:type="dxa" w:w="100"/>
            </w:tcMar>
          </w:tcPr>
          <w:p>
            <w:pPr>
              <w:spacing w:before="0" w:after="0"/>
            </w:pPr>
            <w:r>
              <w:rPr>
                <w:b w:val="false"/>
                <w:bCs w:val="false"/>
                <w:sz w:val="19"/>
                <w:szCs w:val="19"/>
              </w:rPr>
              <w:t xml:space="preserve">Likely: occurs regularly or has happened here</w:t>
            </w:r>
          </w:p>
        </w:tc>
        <w:tc>
          <w:tcPr>
            <w:tcW w:type="dxa" w:w="4284"/>
            <w:tcMar>
              <w:top w:type="dxa" w:w="70"/>
              <w:left w:type="dxa" w:w="100"/>
              <w:bottom w:type="dxa" w:w="70"/>
              <w:right w:type="dxa" w:w="100"/>
            </w:tcMar>
          </w:tcPr>
          <w:p>
            <w:pPr>
              <w:spacing w:before="0" w:after="0"/>
            </w:pPr>
            <w:r>
              <w:rPr>
                <w:b w:val="false"/>
                <w:bCs w:val="false"/>
                <w:sz w:val="19"/>
                <w:szCs w:val="19"/>
              </w:rPr>
              <w:t xml:space="preserve">Severe: large sums, criminal exposure, regulatory action</w:t>
            </w:r>
          </w:p>
        </w:tc>
      </w:tr>
    </w:tbl>
    <w:p>
      <w:pPr>
        <w:spacing w:before="0" w:after="0"/>
      </w:pP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424"/>
        <w:gridCol w:w="1643"/>
        <w:gridCol w:w="6571"/>
      </w:tblGrid>
      <w:tr>
        <w:trPr>
          <w:cantSplit/>
          <w:tblHeader/>
        </w:trPr>
        <w:tc>
          <w:tcPr>
            <w:tcW w:type="dxa" w:w="1424"/>
            <w:shd w:fill="0E3B2C" w:color="auto" w:val="clear"/>
            <w:tcMar>
              <w:top w:type="dxa" w:w="70"/>
              <w:left w:type="dxa" w:w="100"/>
              <w:bottom w:type="dxa" w:w="70"/>
              <w:right w:type="dxa" w:w="100"/>
            </w:tcMar>
          </w:tcPr>
          <w:p>
            <w:pPr>
              <w:spacing w:before="0" w:after="0"/>
            </w:pPr>
            <w:r>
              <w:rPr>
                <w:b/>
                <w:bCs/>
                <w:color w:val="FFFFFF"/>
                <w:sz w:val="19"/>
                <w:szCs w:val="19"/>
              </w:rPr>
              <w:t xml:space="preserve">Total score</w:t>
            </w:r>
          </w:p>
        </w:tc>
        <w:tc>
          <w:tcPr>
            <w:tcW w:type="dxa" w:w="1643"/>
            <w:shd w:fill="0E3B2C" w:color="auto" w:val="clear"/>
            <w:tcMar>
              <w:top w:type="dxa" w:w="70"/>
              <w:left w:type="dxa" w:w="100"/>
              <w:bottom w:type="dxa" w:w="70"/>
              <w:right w:type="dxa" w:w="100"/>
            </w:tcMar>
          </w:tcPr>
          <w:p>
            <w:pPr>
              <w:spacing w:before="0" w:after="0"/>
            </w:pPr>
            <w:r>
              <w:rPr>
                <w:b/>
                <w:bCs/>
                <w:color w:val="FFFFFF"/>
                <w:sz w:val="19"/>
                <w:szCs w:val="19"/>
              </w:rPr>
              <w:t xml:space="preserve">Inherent risk</w:t>
            </w:r>
          </w:p>
        </w:tc>
        <w:tc>
          <w:tcPr>
            <w:tcW w:type="dxa" w:w="6571"/>
            <w:shd w:fill="0E3B2C" w:color="auto" w:val="clear"/>
            <w:tcMar>
              <w:top w:type="dxa" w:w="70"/>
              <w:left w:type="dxa" w:w="100"/>
              <w:bottom w:type="dxa" w:w="70"/>
              <w:right w:type="dxa" w:w="100"/>
            </w:tcMar>
          </w:tcPr>
          <w:p>
            <w:pPr>
              <w:spacing w:before="0" w:after="0"/>
            </w:pPr>
            <w:r>
              <w:rPr>
                <w:b/>
                <w:bCs/>
                <w:color w:val="FFFFFF"/>
                <w:sz w:val="19"/>
                <w:szCs w:val="19"/>
              </w:rPr>
              <w:t xml:space="preserve">What it means for us</w:t>
            </w:r>
          </w:p>
        </w:tc>
      </w:tr>
      <w:tr>
        <w:trPr>
          <w:cantSplit/>
        </w:trPr>
        <w:tc>
          <w:tcPr>
            <w:tcW w:type="dxa" w:w="1424"/>
            <w:tcMar>
              <w:top w:type="dxa" w:w="70"/>
              <w:left w:type="dxa" w:w="100"/>
              <w:bottom w:type="dxa" w:w="70"/>
              <w:right w:type="dxa" w:w="100"/>
            </w:tcMar>
          </w:tcPr>
          <w:p>
            <w:pPr>
              <w:spacing w:before="0" w:after="0"/>
            </w:pPr>
            <w:r>
              <w:rPr>
                <w:b w:val="false"/>
                <w:bCs w:val="false"/>
                <w:sz w:val="19"/>
                <w:szCs w:val="19"/>
              </w:rPr>
              <w:t xml:space="preserve">1–2</w:t>
            </w:r>
          </w:p>
        </w:tc>
        <w:tc>
          <w:tcPr>
            <w:tcW w:type="dxa" w:w="1643"/>
            <w:tcMar>
              <w:top w:type="dxa" w:w="70"/>
              <w:left w:type="dxa" w:w="100"/>
              <w:bottom w:type="dxa" w:w="70"/>
              <w:right w:type="dxa" w:w="100"/>
            </w:tcMar>
          </w:tcPr>
          <w:p>
            <w:pPr>
              <w:spacing w:before="0" w:after="0"/>
            </w:pPr>
            <w:r>
              <w:rPr>
                <w:b w:val="false"/>
                <w:bCs w:val="false"/>
                <w:sz w:val="19"/>
                <w:szCs w:val="19"/>
              </w:rPr>
              <w:t xml:space="preserve">Low</w:t>
            </w:r>
          </w:p>
        </w:tc>
        <w:tc>
          <w:tcPr>
            <w:tcW w:type="dxa" w:w="6571"/>
            <w:tcMar>
              <w:top w:type="dxa" w:w="70"/>
              <w:left w:type="dxa" w:w="100"/>
              <w:bottom w:type="dxa" w:w="70"/>
              <w:right w:type="dxa" w:w="100"/>
            </w:tcMar>
          </w:tcPr>
          <w:p>
            <w:pPr>
              <w:spacing w:before="0" w:after="0"/>
            </w:pPr>
            <w:r>
              <w:rPr>
                <w:b w:val="false"/>
                <w:bCs w:val="false"/>
                <w:sz w:val="19"/>
                <w:szCs w:val="19"/>
              </w:rPr>
              <w:t xml:space="preserve">Standard CDD; simplified CDD only where regulation 37 allows and we record why</w:t>
            </w:r>
          </w:p>
        </w:tc>
      </w:tr>
      <w:tr>
        <w:trPr>
          <w:cantSplit/>
        </w:trPr>
        <w:tc>
          <w:tcPr>
            <w:tcW w:type="dxa" w:w="1424"/>
            <w:tcMar>
              <w:top w:type="dxa" w:w="70"/>
              <w:left w:type="dxa" w:w="100"/>
              <w:bottom w:type="dxa" w:w="70"/>
              <w:right w:type="dxa" w:w="100"/>
            </w:tcMar>
          </w:tcPr>
          <w:p>
            <w:pPr>
              <w:spacing w:before="0" w:after="0"/>
            </w:pPr>
            <w:r>
              <w:rPr>
                <w:b w:val="false"/>
                <w:bCs w:val="false"/>
                <w:sz w:val="19"/>
                <w:szCs w:val="19"/>
              </w:rPr>
              <w:t xml:space="preserve">3–4</w:t>
            </w:r>
          </w:p>
        </w:tc>
        <w:tc>
          <w:tcPr>
            <w:tcW w:type="dxa" w:w="1643"/>
            <w:tcMar>
              <w:top w:type="dxa" w:w="70"/>
              <w:left w:type="dxa" w:w="100"/>
              <w:bottom w:type="dxa" w:w="70"/>
              <w:right w:type="dxa" w:w="100"/>
            </w:tcMar>
          </w:tcPr>
          <w:p>
            <w:pPr>
              <w:spacing w:before="0" w:after="0"/>
            </w:pPr>
            <w:r>
              <w:rPr>
                <w:b w:val="false"/>
                <w:bCs w:val="false"/>
                <w:sz w:val="19"/>
                <w:szCs w:val="19"/>
              </w:rPr>
              <w:t xml:space="preserve">Medium</w:t>
            </w:r>
          </w:p>
        </w:tc>
        <w:tc>
          <w:tcPr>
            <w:tcW w:type="dxa" w:w="6571"/>
            <w:tcMar>
              <w:top w:type="dxa" w:w="70"/>
              <w:left w:type="dxa" w:w="100"/>
              <w:bottom w:type="dxa" w:w="70"/>
              <w:right w:type="dxa" w:w="100"/>
            </w:tcMar>
          </w:tcPr>
          <w:p>
            <w:pPr>
              <w:spacing w:before="0" w:after="0"/>
            </w:pPr>
            <w:r>
              <w:rPr>
                <w:b w:val="false"/>
                <w:bCs w:val="false"/>
                <w:sz w:val="19"/>
                <w:szCs w:val="19"/>
              </w:rPr>
              <w:t xml:space="preserve">Standard CDD plus targeted questions and closer monitoring</w:t>
            </w:r>
          </w:p>
        </w:tc>
      </w:tr>
      <w:tr>
        <w:trPr>
          <w:cantSplit/>
        </w:trPr>
        <w:tc>
          <w:tcPr>
            <w:tcW w:type="dxa" w:w="1424"/>
            <w:tcMar>
              <w:top w:type="dxa" w:w="70"/>
              <w:left w:type="dxa" w:w="100"/>
              <w:bottom w:type="dxa" w:w="70"/>
              <w:right w:type="dxa" w:w="100"/>
            </w:tcMar>
          </w:tcPr>
          <w:p>
            <w:pPr>
              <w:spacing w:before="0" w:after="0"/>
            </w:pPr>
            <w:r>
              <w:rPr>
                <w:b w:val="false"/>
                <w:bCs w:val="false"/>
                <w:sz w:val="19"/>
                <w:szCs w:val="19"/>
              </w:rPr>
              <w:t xml:space="preserve">6–9</w:t>
            </w:r>
          </w:p>
        </w:tc>
        <w:tc>
          <w:tcPr>
            <w:tcW w:type="dxa" w:w="1643"/>
            <w:tcMar>
              <w:top w:type="dxa" w:w="70"/>
              <w:left w:type="dxa" w:w="100"/>
              <w:bottom w:type="dxa" w:w="70"/>
              <w:right w:type="dxa" w:w="100"/>
            </w:tcMar>
          </w:tcPr>
          <w:p>
            <w:pPr>
              <w:spacing w:before="0" w:after="0"/>
            </w:pPr>
            <w:r>
              <w:rPr>
                <w:b w:val="false"/>
                <w:bCs w:val="false"/>
                <w:sz w:val="19"/>
                <w:szCs w:val="19"/>
              </w:rPr>
              <w:t xml:space="preserve">High</w:t>
            </w:r>
          </w:p>
        </w:tc>
        <w:tc>
          <w:tcPr>
            <w:tcW w:type="dxa" w:w="6571"/>
            <w:tcMar>
              <w:top w:type="dxa" w:w="70"/>
              <w:left w:type="dxa" w:w="100"/>
              <w:bottom w:type="dxa" w:w="70"/>
              <w:right w:type="dxa" w:w="100"/>
            </w:tcMar>
          </w:tcPr>
          <w:p>
            <w:pPr>
              <w:spacing w:before="0" w:after="0"/>
            </w:pPr>
            <w:r>
              <w:rPr>
                <w:b w:val="false"/>
                <w:bCs w:val="false"/>
                <w:sz w:val="19"/>
                <w:szCs w:val="19"/>
              </w:rPr>
              <w:t xml:space="preserve">Enhanced due diligence, senior manager approval, more frequent review</w:t>
            </w:r>
          </w:p>
        </w:tc>
      </w:tr>
    </w:tbl>
    <w:p>
      <w:pPr>
        <w:spacing w:before="0" w:after="0"/>
      </w:pPr>
    </w:p>
    <w:p>
      <w:pPr>
        <w:spacing w:after="120"/>
      </w:pPr>
      <w:r>
        <w:t xml:space="preserve">After scoring, we describe the controls we use and give a residual rating: the risk that remains after controls.</w:t>
      </w:r>
    </w:p>
    <w:p>
      <w:pPr>
        <w:pStyle w:val="Heading1"/>
      </w:pPr>
      <w:r>
        <w:t xml:space="preserve">4. Risk assessment</w:t>
      </w:r>
    </w:p>
    <w:p>
      <w:pPr>
        <w:pStyle w:val="Heading2"/>
      </w:pPr>
      <w:r>
        <w:t xml:space="preserve">4.1 Customer risk</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313"/>
        <w:gridCol w:w="2217"/>
        <w:gridCol w:w="578"/>
        <w:gridCol w:w="578"/>
        <w:gridCol w:w="723"/>
        <w:gridCol w:w="2313"/>
        <w:gridCol w:w="916"/>
      </w:tblGrid>
      <w:tr>
        <w:trPr>
          <w:cantSplit/>
          <w:tblHeader/>
        </w:trPr>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Risk factor</w:t>
            </w:r>
          </w:p>
        </w:tc>
        <w:tc>
          <w:tcPr>
            <w:tcW w:type="dxa" w:w="2217"/>
            <w:shd w:fill="0E3B2C" w:color="auto" w:val="clear"/>
            <w:tcMar>
              <w:top w:type="dxa" w:w="70"/>
              <w:left w:type="dxa" w:w="100"/>
              <w:bottom w:type="dxa" w:w="70"/>
              <w:right w:type="dxa" w:w="100"/>
            </w:tcMar>
          </w:tcPr>
          <w:p>
            <w:pPr>
              <w:spacing w:before="0" w:after="0"/>
            </w:pPr>
            <w:r>
              <w:rPr>
                <w:b/>
                <w:bCs/>
                <w:color w:val="FFFFFF"/>
                <w:sz w:val="19"/>
                <w:szCs w:val="19"/>
              </w:rPr>
              <w:t xml:space="preserve">How it applies to us (evidence, volumes)</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L</w:t>
            </w:r>
            <w:r>
              <w:rPr>
                <w:b/>
                <w:bCs/>
                <w:color w:val="FFFFFF"/>
                <w:sz w:val="19"/>
                <w:szCs w:val="19"/>
              </w:rPr>
              <w:br/>
              <w:t xml:space="preserve">1–3</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I</w:t>
            </w:r>
            <w:r>
              <w:rPr>
                <w:b/>
                <w:bCs/>
                <w:color w:val="FFFFFF"/>
                <w:sz w:val="19"/>
                <w:szCs w:val="19"/>
              </w:rPr>
              <w:br/>
              <w:t xml:space="preserve">1–3</w:t>
            </w:r>
          </w:p>
        </w:tc>
        <w:tc>
          <w:tcPr>
            <w:tcW w:type="dxa" w:w="723"/>
            <w:shd w:fill="0E3B2C" w:color="auto" w:val="clear"/>
            <w:tcMar>
              <w:top w:type="dxa" w:w="70"/>
              <w:left w:type="dxa" w:w="100"/>
              <w:bottom w:type="dxa" w:w="70"/>
              <w:right w:type="dxa" w:w="100"/>
            </w:tcMar>
          </w:tcPr>
          <w:p>
            <w:pPr>
              <w:spacing w:before="0" w:after="0"/>
            </w:pPr>
            <w:r>
              <w:rPr>
                <w:b/>
                <w:bCs/>
                <w:color w:val="FFFFFF"/>
                <w:sz w:val="19"/>
                <w:szCs w:val="19"/>
              </w:rPr>
              <w:t xml:space="preserve">Score</w:t>
            </w:r>
          </w:p>
        </w:tc>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Controls in place</w:t>
            </w:r>
          </w:p>
        </w:tc>
        <w:tc>
          <w:tcPr>
            <w:tcW w:type="dxa" w:w="916"/>
            <w:shd w:fill="0E3B2C" w:color="auto" w:val="clear"/>
            <w:tcMar>
              <w:top w:type="dxa" w:w="70"/>
              <w:left w:type="dxa" w:w="100"/>
              <w:bottom w:type="dxa" w:w="70"/>
              <w:right w:type="dxa" w:w="100"/>
            </w:tcMar>
          </w:tcPr>
          <w:p>
            <w:pPr>
              <w:spacing w:before="0" w:after="0"/>
            </w:pPr>
            <w:r>
              <w:rPr>
                <w:b/>
                <w:bCs/>
                <w:color w:val="FFFFFF"/>
                <w:sz w:val="19"/>
                <w:szCs w:val="19"/>
              </w:rPr>
              <w:t xml:space="preserve">Residual</w:t>
            </w:r>
            <w:r>
              <w:rPr>
                <w:b/>
                <w:bCs/>
                <w:color w:val="FFFFFF"/>
                <w:sz w:val="19"/>
                <w:szCs w:val="19"/>
              </w:rPr>
              <w:br/>
              <w:t xml:space="preserve">rating</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Customers who are politically exposed persons, their family or close associates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Companies, trusts or overseas structures with complex or unclear ownership</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Customers who are evasive, refuse CDD or source of funds questions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Cash-intensive businesses (e.g. car washes, barbers, takeaways)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[EA]</w:t>
            </w:r>
            <w:r>
              <w:rPr>
                <w:b w:val="false"/>
                <w:bCs w:val="false"/>
                <w:sz w:val="19"/>
                <w:szCs w:val="19"/>
              </w:rPr>
              <w:t xml:space="preserve"> Cash buyers, buyers whose means do not match the price</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[EA]</w:t>
            </w:r>
            <w:r>
              <w:rPr>
                <w:b w:val="false"/>
                <w:bCs w:val="false"/>
                <w:sz w:val="19"/>
                <w:szCs w:val="19"/>
              </w:rPr>
              <w:t xml:space="preserve"> Probate, repossession and insolvency sales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[ACC]</w:t>
            </w:r>
            <w:r>
              <w:rPr>
                <w:b w:val="false"/>
                <w:bCs w:val="false"/>
                <w:sz w:val="19"/>
                <w:szCs w:val="19"/>
              </w:rPr>
              <w:t xml:space="preserve"> Clients with incomplete or unverified records, or frequent changes of owners or directors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[ACC]</w:t>
            </w:r>
            <w:r>
              <w:rPr>
                <w:b w:val="false"/>
                <w:bCs w:val="false"/>
                <w:sz w:val="19"/>
                <w:szCs w:val="19"/>
              </w:rPr>
              <w:t xml:space="preserve"> Clients pressing to reduce tax or willing to take tax risks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[Add your own]</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bl>
    <w:p>
      <w:pPr>
        <w:spacing w:before="0" w:after="0"/>
      </w:pPr>
    </w:p>
    <w:p>
      <w:pPr>
        <w:pStyle w:val="Heading2"/>
      </w:pPr>
      <w:r>
        <w:t xml:space="preserve">4.2 Geographic risk</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313"/>
        <w:gridCol w:w="2217"/>
        <w:gridCol w:w="578"/>
        <w:gridCol w:w="578"/>
        <w:gridCol w:w="723"/>
        <w:gridCol w:w="2313"/>
        <w:gridCol w:w="916"/>
      </w:tblGrid>
      <w:tr>
        <w:trPr>
          <w:cantSplit/>
          <w:tblHeader/>
        </w:trPr>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Risk factor</w:t>
            </w:r>
          </w:p>
        </w:tc>
        <w:tc>
          <w:tcPr>
            <w:tcW w:type="dxa" w:w="2217"/>
            <w:shd w:fill="0E3B2C" w:color="auto" w:val="clear"/>
            <w:tcMar>
              <w:top w:type="dxa" w:w="70"/>
              <w:left w:type="dxa" w:w="100"/>
              <w:bottom w:type="dxa" w:w="70"/>
              <w:right w:type="dxa" w:w="100"/>
            </w:tcMar>
          </w:tcPr>
          <w:p>
            <w:pPr>
              <w:spacing w:before="0" w:after="0"/>
            </w:pPr>
            <w:r>
              <w:rPr>
                <w:b/>
                <w:bCs/>
                <w:color w:val="FFFFFF"/>
                <w:sz w:val="19"/>
                <w:szCs w:val="19"/>
              </w:rPr>
              <w:t xml:space="preserve">How it applies to us (evidence, volumes)</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L</w:t>
            </w:r>
            <w:r>
              <w:rPr>
                <w:b/>
                <w:bCs/>
                <w:color w:val="FFFFFF"/>
                <w:sz w:val="19"/>
                <w:szCs w:val="19"/>
              </w:rPr>
              <w:br/>
              <w:t xml:space="preserve">1–3</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I</w:t>
            </w:r>
            <w:r>
              <w:rPr>
                <w:b/>
                <w:bCs/>
                <w:color w:val="FFFFFF"/>
                <w:sz w:val="19"/>
                <w:szCs w:val="19"/>
              </w:rPr>
              <w:br/>
              <w:t xml:space="preserve">1–3</w:t>
            </w:r>
          </w:p>
        </w:tc>
        <w:tc>
          <w:tcPr>
            <w:tcW w:type="dxa" w:w="723"/>
            <w:shd w:fill="0E3B2C" w:color="auto" w:val="clear"/>
            <w:tcMar>
              <w:top w:type="dxa" w:w="70"/>
              <w:left w:type="dxa" w:w="100"/>
              <w:bottom w:type="dxa" w:w="70"/>
              <w:right w:type="dxa" w:w="100"/>
            </w:tcMar>
          </w:tcPr>
          <w:p>
            <w:pPr>
              <w:spacing w:before="0" w:after="0"/>
            </w:pPr>
            <w:r>
              <w:rPr>
                <w:b/>
                <w:bCs/>
                <w:color w:val="FFFFFF"/>
                <w:sz w:val="19"/>
                <w:szCs w:val="19"/>
              </w:rPr>
              <w:t xml:space="preserve">Score</w:t>
            </w:r>
          </w:p>
        </w:tc>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Controls in place</w:t>
            </w:r>
          </w:p>
        </w:tc>
        <w:tc>
          <w:tcPr>
            <w:tcW w:type="dxa" w:w="916"/>
            <w:shd w:fill="0E3B2C" w:color="auto" w:val="clear"/>
            <w:tcMar>
              <w:top w:type="dxa" w:w="70"/>
              <w:left w:type="dxa" w:w="100"/>
              <w:bottom w:type="dxa" w:w="70"/>
              <w:right w:type="dxa" w:w="100"/>
            </w:tcMar>
          </w:tcPr>
          <w:p>
            <w:pPr>
              <w:spacing w:before="0" w:after="0"/>
            </w:pPr>
            <w:r>
              <w:rPr>
                <w:b/>
                <w:bCs/>
                <w:color w:val="FFFFFF"/>
                <w:sz w:val="19"/>
                <w:szCs w:val="19"/>
              </w:rPr>
              <w:t xml:space="preserve">Residual</w:t>
            </w:r>
            <w:r>
              <w:rPr>
                <w:b/>
                <w:bCs/>
                <w:color w:val="FFFFFF"/>
                <w:sz w:val="19"/>
                <w:szCs w:val="19"/>
              </w:rPr>
              <w:br/>
              <w:t xml:space="preserve">rating</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Customers or counterparties established in FATF call for action countries (mandatory EDD)</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Links to grey-list or other higher-risk jurisdictions, secrecy jurisdictions or sanctioned countries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Citizenship by investment, especially where passport country differs from birth country</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Overseas funding or overseas intermediaries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[Add your own]</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bl>
    <w:p>
      <w:pPr>
        <w:spacing w:before="0" w:after="0"/>
      </w:pPr>
    </w:p>
    <w:p>
      <w:pPr>
        <w:pStyle w:val="Heading2"/>
      </w:pPr>
      <w:r>
        <w:t xml:space="preserve">4.3 Product, service and transaction risk</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313"/>
        <w:gridCol w:w="2217"/>
        <w:gridCol w:w="578"/>
        <w:gridCol w:w="578"/>
        <w:gridCol w:w="723"/>
        <w:gridCol w:w="2313"/>
        <w:gridCol w:w="916"/>
      </w:tblGrid>
      <w:tr>
        <w:trPr>
          <w:cantSplit/>
          <w:tblHeader/>
        </w:trPr>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Risk factor</w:t>
            </w:r>
          </w:p>
        </w:tc>
        <w:tc>
          <w:tcPr>
            <w:tcW w:type="dxa" w:w="2217"/>
            <w:shd w:fill="0E3B2C" w:color="auto" w:val="clear"/>
            <w:tcMar>
              <w:top w:type="dxa" w:w="70"/>
              <w:left w:type="dxa" w:w="100"/>
              <w:bottom w:type="dxa" w:w="70"/>
              <w:right w:type="dxa" w:w="100"/>
            </w:tcMar>
          </w:tcPr>
          <w:p>
            <w:pPr>
              <w:spacing w:before="0" w:after="0"/>
            </w:pPr>
            <w:r>
              <w:rPr>
                <w:b/>
                <w:bCs/>
                <w:color w:val="FFFFFF"/>
                <w:sz w:val="19"/>
                <w:szCs w:val="19"/>
              </w:rPr>
              <w:t xml:space="preserve">How it applies to us (evidence, volumes)</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L</w:t>
            </w:r>
            <w:r>
              <w:rPr>
                <w:b/>
                <w:bCs/>
                <w:color w:val="FFFFFF"/>
                <w:sz w:val="19"/>
                <w:szCs w:val="19"/>
              </w:rPr>
              <w:br/>
              <w:t xml:space="preserve">1–3</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I</w:t>
            </w:r>
            <w:r>
              <w:rPr>
                <w:b/>
                <w:bCs/>
                <w:color w:val="FFFFFF"/>
                <w:sz w:val="19"/>
                <w:szCs w:val="19"/>
              </w:rPr>
              <w:br/>
              <w:t xml:space="preserve">1–3</w:t>
            </w:r>
          </w:p>
        </w:tc>
        <w:tc>
          <w:tcPr>
            <w:tcW w:type="dxa" w:w="723"/>
            <w:shd w:fill="0E3B2C" w:color="auto" w:val="clear"/>
            <w:tcMar>
              <w:top w:type="dxa" w:w="70"/>
              <w:left w:type="dxa" w:w="100"/>
              <w:bottom w:type="dxa" w:w="70"/>
              <w:right w:type="dxa" w:w="100"/>
            </w:tcMar>
          </w:tcPr>
          <w:p>
            <w:pPr>
              <w:spacing w:before="0" w:after="0"/>
            </w:pPr>
            <w:r>
              <w:rPr>
                <w:b/>
                <w:bCs/>
                <w:color w:val="FFFFFF"/>
                <w:sz w:val="19"/>
                <w:szCs w:val="19"/>
              </w:rPr>
              <w:t xml:space="preserve">Score</w:t>
            </w:r>
          </w:p>
        </w:tc>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Controls in place</w:t>
            </w:r>
          </w:p>
        </w:tc>
        <w:tc>
          <w:tcPr>
            <w:tcW w:type="dxa" w:w="916"/>
            <w:shd w:fill="0E3B2C" w:color="auto" w:val="clear"/>
            <w:tcMar>
              <w:top w:type="dxa" w:w="70"/>
              <w:left w:type="dxa" w:w="100"/>
              <w:bottom w:type="dxa" w:w="70"/>
              <w:right w:type="dxa" w:w="100"/>
            </w:tcMar>
          </w:tcPr>
          <w:p>
            <w:pPr>
              <w:spacing w:before="0" w:after="0"/>
            </w:pPr>
            <w:r>
              <w:rPr>
                <w:b/>
                <w:bCs/>
                <w:color w:val="FFFFFF"/>
                <w:sz w:val="19"/>
                <w:szCs w:val="19"/>
              </w:rPr>
              <w:t xml:space="preserve">Residual</w:t>
            </w:r>
            <w:r>
              <w:rPr>
                <w:b/>
                <w:bCs/>
                <w:color w:val="FFFFFF"/>
                <w:sz w:val="19"/>
                <w:szCs w:val="19"/>
              </w:rPr>
              <w:br/>
              <w:t xml:space="preserve">rating</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[EA]</w:t>
            </w:r>
            <w:r>
              <w:rPr>
                <w:b w:val="false"/>
                <w:bCs w:val="false"/>
                <w:sz w:val="19"/>
                <w:szCs w:val="19"/>
              </w:rPr>
              <w:t xml:space="preserve"> High-value property (HMRC defines super-prime property as £5m+ in London and the South East and £1m+ elsewhere)</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[EA]</w:t>
            </w:r>
            <w:r>
              <w:rPr>
                <w:b w:val="false"/>
                <w:bCs w:val="false"/>
                <w:sz w:val="19"/>
                <w:szCs w:val="19"/>
              </w:rPr>
              <w:t xml:space="preserve"> Price well above or below market value, unusually fast sales, repeated sales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[EA]</w:t>
            </w:r>
            <w:r>
              <w:rPr>
                <w:b w:val="false"/>
                <w:bCs w:val="false"/>
                <w:sz w:val="19"/>
                <w:szCs w:val="19"/>
              </w:rPr>
              <w:t xml:space="preserve"> Third-party payments, gifted deposits, last-minute changes of funding or lender</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[EA]</w:t>
            </w:r>
            <w:r>
              <w:rPr>
                <w:b w:val="false"/>
                <w:bCs w:val="false"/>
                <w:sz w:val="19"/>
                <w:szCs w:val="19"/>
              </w:rPr>
              <w:t xml:space="preserve"> Lettings at £10,000 or more a month</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[ACC]</w:t>
            </w:r>
            <w:r>
              <w:rPr>
                <w:b w:val="false"/>
                <w:bCs w:val="false"/>
                <w:sz w:val="19"/>
                <w:szCs w:val="19"/>
              </w:rPr>
              <w:t xml:space="preserve"> Company formation, registered office and nominee services; sale of off-the-shelf companies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[ACC]</w:t>
            </w:r>
            <w:r>
              <w:rPr>
                <w:b w:val="false"/>
                <w:bCs w:val="false"/>
                <w:sz w:val="19"/>
                <w:szCs w:val="19"/>
              </w:rPr>
              <w:t xml:space="preserve"> Payroll services; money passing through client accounts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Transactions that are unusually complex or unusually large, or with no apparent purpose</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Cryptoassets, cash or foreign currency</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[Add your own]</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bl>
    <w:p>
      <w:pPr>
        <w:spacing w:before="0" w:after="0"/>
      </w:pPr>
    </w:p>
    <w:p>
      <w:pPr>
        <w:pStyle w:val="Heading2"/>
      </w:pPr>
      <w:r>
        <w:t xml:space="preserve">4.4 Delivery channel risk</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313"/>
        <w:gridCol w:w="2217"/>
        <w:gridCol w:w="578"/>
        <w:gridCol w:w="578"/>
        <w:gridCol w:w="723"/>
        <w:gridCol w:w="2313"/>
        <w:gridCol w:w="916"/>
      </w:tblGrid>
      <w:tr>
        <w:trPr>
          <w:cantSplit/>
          <w:tblHeader/>
        </w:trPr>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Risk factor</w:t>
            </w:r>
          </w:p>
        </w:tc>
        <w:tc>
          <w:tcPr>
            <w:tcW w:type="dxa" w:w="2217"/>
            <w:shd w:fill="0E3B2C" w:color="auto" w:val="clear"/>
            <w:tcMar>
              <w:top w:type="dxa" w:w="70"/>
              <w:left w:type="dxa" w:w="100"/>
              <w:bottom w:type="dxa" w:w="70"/>
              <w:right w:type="dxa" w:w="100"/>
            </w:tcMar>
          </w:tcPr>
          <w:p>
            <w:pPr>
              <w:spacing w:before="0" w:after="0"/>
            </w:pPr>
            <w:r>
              <w:rPr>
                <w:b/>
                <w:bCs/>
                <w:color w:val="FFFFFF"/>
                <w:sz w:val="19"/>
                <w:szCs w:val="19"/>
              </w:rPr>
              <w:t xml:space="preserve">How it applies to us (evidence, volumes)</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L</w:t>
            </w:r>
            <w:r>
              <w:rPr>
                <w:b/>
                <w:bCs/>
                <w:color w:val="FFFFFF"/>
                <w:sz w:val="19"/>
                <w:szCs w:val="19"/>
              </w:rPr>
              <w:br/>
              <w:t xml:space="preserve">1–3</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I</w:t>
            </w:r>
            <w:r>
              <w:rPr>
                <w:b/>
                <w:bCs/>
                <w:color w:val="FFFFFF"/>
                <w:sz w:val="19"/>
                <w:szCs w:val="19"/>
              </w:rPr>
              <w:br/>
              <w:t xml:space="preserve">1–3</w:t>
            </w:r>
          </w:p>
        </w:tc>
        <w:tc>
          <w:tcPr>
            <w:tcW w:type="dxa" w:w="723"/>
            <w:shd w:fill="0E3B2C" w:color="auto" w:val="clear"/>
            <w:tcMar>
              <w:top w:type="dxa" w:w="70"/>
              <w:left w:type="dxa" w:w="100"/>
              <w:bottom w:type="dxa" w:w="70"/>
              <w:right w:type="dxa" w:w="100"/>
            </w:tcMar>
          </w:tcPr>
          <w:p>
            <w:pPr>
              <w:spacing w:before="0" w:after="0"/>
            </w:pPr>
            <w:r>
              <w:rPr>
                <w:b/>
                <w:bCs/>
                <w:color w:val="FFFFFF"/>
                <w:sz w:val="19"/>
                <w:szCs w:val="19"/>
              </w:rPr>
              <w:t xml:space="preserve">Score</w:t>
            </w:r>
          </w:p>
        </w:tc>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Controls in place</w:t>
            </w:r>
          </w:p>
        </w:tc>
        <w:tc>
          <w:tcPr>
            <w:tcW w:type="dxa" w:w="916"/>
            <w:shd w:fill="0E3B2C" w:color="auto" w:val="clear"/>
            <w:tcMar>
              <w:top w:type="dxa" w:w="70"/>
              <w:left w:type="dxa" w:w="100"/>
              <w:bottom w:type="dxa" w:w="70"/>
              <w:right w:type="dxa" w:w="100"/>
            </w:tcMar>
          </w:tcPr>
          <w:p>
            <w:pPr>
              <w:spacing w:before="0" w:after="0"/>
            </w:pPr>
            <w:r>
              <w:rPr>
                <w:b/>
                <w:bCs/>
                <w:color w:val="FFFFFF"/>
                <w:sz w:val="19"/>
                <w:szCs w:val="19"/>
              </w:rPr>
              <w:t xml:space="preserve">Residual</w:t>
            </w:r>
            <w:r>
              <w:rPr>
                <w:b/>
                <w:bCs/>
                <w:color w:val="FFFFFF"/>
                <w:sz w:val="19"/>
                <w:szCs w:val="19"/>
              </w:rPr>
              <w:br/>
              <w:t xml:space="preserve">rating</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Customers we never meet in person</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Introducers, intermediaries or other agents (including joint or multi-agency instructions)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Reliance on third-party CDD, or electronic ID providers we have not assessed</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Customers using virtual offices or acting through attorneys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[Add your own]</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bl>
    <w:p>
      <w:pPr>
        <w:spacing w:before="0" w:after="0"/>
      </w:pPr>
    </w:p>
    <w:p>
      <w:pPr>
        <w:pStyle w:val="Heading2"/>
      </w:pPr>
      <w:r>
        <w:t xml:space="preserve">4.5 Our own business</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313"/>
        <w:gridCol w:w="2217"/>
        <w:gridCol w:w="578"/>
        <w:gridCol w:w="578"/>
        <w:gridCol w:w="723"/>
        <w:gridCol w:w="2313"/>
        <w:gridCol w:w="916"/>
      </w:tblGrid>
      <w:tr>
        <w:trPr>
          <w:cantSplit/>
          <w:tblHeader/>
        </w:trPr>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Risk factor</w:t>
            </w:r>
          </w:p>
        </w:tc>
        <w:tc>
          <w:tcPr>
            <w:tcW w:type="dxa" w:w="2217"/>
            <w:shd w:fill="0E3B2C" w:color="auto" w:val="clear"/>
            <w:tcMar>
              <w:top w:type="dxa" w:w="70"/>
              <w:left w:type="dxa" w:w="100"/>
              <w:bottom w:type="dxa" w:w="70"/>
              <w:right w:type="dxa" w:w="100"/>
            </w:tcMar>
          </w:tcPr>
          <w:p>
            <w:pPr>
              <w:spacing w:before="0" w:after="0"/>
            </w:pPr>
            <w:r>
              <w:rPr>
                <w:b/>
                <w:bCs/>
                <w:color w:val="FFFFFF"/>
                <w:sz w:val="19"/>
                <w:szCs w:val="19"/>
              </w:rPr>
              <w:t xml:space="preserve">How it applies to us (evidence, volumes)</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L</w:t>
            </w:r>
            <w:r>
              <w:rPr>
                <w:b/>
                <w:bCs/>
                <w:color w:val="FFFFFF"/>
                <w:sz w:val="19"/>
                <w:szCs w:val="19"/>
              </w:rPr>
              <w:br/>
              <w:t xml:space="preserve">1–3</w:t>
            </w:r>
          </w:p>
        </w:tc>
        <w:tc>
          <w:tcPr>
            <w:tcW w:type="dxa" w:w="578"/>
            <w:shd w:fill="0E3B2C" w:color="auto" w:val="clear"/>
            <w:tcMar>
              <w:top w:type="dxa" w:w="70"/>
              <w:left w:type="dxa" w:w="100"/>
              <w:bottom w:type="dxa" w:w="70"/>
              <w:right w:type="dxa" w:w="100"/>
            </w:tcMar>
          </w:tcPr>
          <w:p>
            <w:pPr>
              <w:spacing w:before="0" w:after="0"/>
            </w:pPr>
            <w:r>
              <w:rPr>
                <w:b/>
                <w:bCs/>
                <w:color w:val="FFFFFF"/>
                <w:sz w:val="19"/>
                <w:szCs w:val="19"/>
              </w:rPr>
              <w:t xml:space="preserve">I</w:t>
            </w:r>
            <w:r>
              <w:rPr>
                <w:b/>
                <w:bCs/>
                <w:color w:val="FFFFFF"/>
                <w:sz w:val="19"/>
                <w:szCs w:val="19"/>
              </w:rPr>
              <w:br/>
              <w:t xml:space="preserve">1–3</w:t>
            </w:r>
          </w:p>
        </w:tc>
        <w:tc>
          <w:tcPr>
            <w:tcW w:type="dxa" w:w="723"/>
            <w:shd w:fill="0E3B2C" w:color="auto" w:val="clear"/>
            <w:tcMar>
              <w:top w:type="dxa" w:w="70"/>
              <w:left w:type="dxa" w:w="100"/>
              <w:bottom w:type="dxa" w:w="70"/>
              <w:right w:type="dxa" w:w="100"/>
            </w:tcMar>
          </w:tcPr>
          <w:p>
            <w:pPr>
              <w:spacing w:before="0" w:after="0"/>
            </w:pPr>
            <w:r>
              <w:rPr>
                <w:b/>
                <w:bCs/>
                <w:color w:val="FFFFFF"/>
                <w:sz w:val="19"/>
                <w:szCs w:val="19"/>
              </w:rPr>
              <w:t xml:space="preserve">Score</w:t>
            </w:r>
          </w:p>
        </w:tc>
        <w:tc>
          <w:tcPr>
            <w:tcW w:type="dxa" w:w="2313"/>
            <w:shd w:fill="0E3B2C" w:color="auto" w:val="clear"/>
            <w:tcMar>
              <w:top w:type="dxa" w:w="70"/>
              <w:left w:type="dxa" w:w="100"/>
              <w:bottom w:type="dxa" w:w="70"/>
              <w:right w:type="dxa" w:w="100"/>
            </w:tcMar>
          </w:tcPr>
          <w:p>
            <w:pPr>
              <w:spacing w:before="0" w:after="0"/>
            </w:pPr>
            <w:r>
              <w:rPr>
                <w:b/>
                <w:bCs/>
                <w:color w:val="FFFFFF"/>
                <w:sz w:val="19"/>
                <w:szCs w:val="19"/>
              </w:rPr>
              <w:t xml:space="preserve">Controls in place</w:t>
            </w:r>
          </w:p>
        </w:tc>
        <w:tc>
          <w:tcPr>
            <w:tcW w:type="dxa" w:w="916"/>
            <w:shd w:fill="0E3B2C" w:color="auto" w:val="clear"/>
            <w:tcMar>
              <w:top w:type="dxa" w:w="70"/>
              <w:left w:type="dxa" w:w="100"/>
              <w:bottom w:type="dxa" w:w="70"/>
              <w:right w:type="dxa" w:w="100"/>
            </w:tcMar>
          </w:tcPr>
          <w:p>
            <w:pPr>
              <w:spacing w:before="0" w:after="0"/>
            </w:pPr>
            <w:r>
              <w:rPr>
                <w:b/>
                <w:bCs/>
                <w:color w:val="FFFFFF"/>
                <w:sz w:val="19"/>
                <w:szCs w:val="19"/>
              </w:rPr>
              <w:t xml:space="preserve">Residual</w:t>
            </w:r>
            <w:r>
              <w:rPr>
                <w:b/>
                <w:bCs/>
                <w:color w:val="FFFFFF"/>
                <w:sz w:val="19"/>
                <w:szCs w:val="19"/>
              </w:rPr>
              <w:br/>
              <w:t xml:space="preserve">rating</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Staff turnover, training gaps, pressure to hit sales targets</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Branches, franchisees or agents operating with less oversight</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New services or technology introduced this year</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sz w:val="19"/>
                <w:szCs w:val="19"/>
              </w:rPr>
              <w:t xml:space="preserve">Findings from our last file review or supervisor visit</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r>
        <w:trPr>
          <w:cantSplit/>
        </w:trPr>
        <w:tc>
          <w:tcPr>
            <w:tcW w:type="dxa" w:w="2313"/>
            <w:tcMar>
              <w:top w:type="dxa" w:w="70"/>
              <w:left w:type="dxa" w:w="100"/>
              <w:bottom w:type="dxa" w:w="70"/>
              <w:right w:type="dxa" w:w="100"/>
            </w:tcMar>
          </w:tcPr>
          <w:p>
            <w:pPr>
              <w:spacing w:before="0" w:after="0"/>
            </w:pPr>
            <w:r>
              <w:rPr>
                <w:b w:val="false"/>
                <w:bCs w:val="false"/>
                <w:color w:val="0A7A52"/>
                <w:sz w:val="19"/>
                <w:szCs w:val="19"/>
              </w:rPr>
              <w:t xml:space="preserve">[Add your own]</w:t>
            </w:r>
          </w:p>
        </w:tc>
        <w:tc>
          <w:tcPr>
            <w:tcW w:type="dxa" w:w="221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57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72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313"/>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916"/>
            <w:tcMar>
              <w:top w:type="dxa" w:w="70"/>
              <w:left w:type="dxa" w:w="100"/>
              <w:bottom w:type="dxa" w:w="70"/>
              <w:right w:type="dxa" w:w="100"/>
            </w:tcMar>
          </w:tcPr>
          <w:p>
            <w:pPr>
              <w:spacing w:before="0" w:after="0"/>
            </w:pPr>
            <w:r>
              <w:rPr>
                <w:b w:val="false"/>
                <w:bCs w:val="false"/>
                <w:color w:val="0A7A52"/>
                <w:sz w:val="19"/>
                <w:szCs w:val="19"/>
              </w:rPr>
              <w:t xml:space="preserve">[L/M/H]</w:t>
            </w:r>
          </w:p>
        </w:tc>
      </w:tr>
    </w:tbl>
    <w:p>
      <w:pPr>
        <w:spacing w:before="0" w:after="0"/>
      </w:pPr>
    </w:p>
    <w:p>
      <w:pPr>
        <w:pStyle w:val="Heading1"/>
      </w:pPr>
      <w:r>
        <w:t xml:space="preserve">5. Overall conclusion</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Overall inherent risk</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[Low / Medium / High]</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Overall residual risk</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[Low / Medium / High]</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Main risks</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[Top three, in a sentence each]</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Why we reached this view</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[Explain, especially where individual high-risk factors are present but you judge the overall risk is not high. HMRC asks you to record a justifiable rationale.]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Risk appetite: clients or work we will not take on</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[e.g. clients we cannot identify, shell companies with no rationale, sanctioned persons]</w:t>
            </w:r>
          </w:p>
        </w:tc>
      </w:tr>
    </w:tbl>
    <w:p>
      <w:pPr>
        <w:spacing w:before="0" w:after="0"/>
      </w:pPr>
    </w:p>
    <w:p>
      <w:pPr>
        <w:pStyle w:val="Heading1"/>
      </w:pPr>
      <w:r>
        <w:t xml:space="preserve">6. Action plan</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5603"/>
        <w:gridCol w:w="1681"/>
        <w:gridCol w:w="1457"/>
        <w:gridCol w:w="897"/>
      </w:tblGrid>
      <w:tr>
        <w:trPr>
          <w:cantSplit/>
          <w:tblHeader/>
        </w:trPr>
        <w:tc>
          <w:tcPr>
            <w:tcW w:type="dxa" w:w="5603"/>
            <w:shd w:fill="0E3B2C" w:color="auto" w:val="clear"/>
            <w:tcMar>
              <w:top w:type="dxa" w:w="70"/>
              <w:left w:type="dxa" w:w="100"/>
              <w:bottom w:type="dxa" w:w="70"/>
              <w:right w:type="dxa" w:w="100"/>
            </w:tcMar>
          </w:tcPr>
          <w:p>
            <w:pPr>
              <w:spacing w:before="0" w:after="0"/>
            </w:pPr>
            <w:r>
              <w:rPr>
                <w:b/>
                <w:bCs/>
                <w:color w:val="FFFFFF"/>
                <w:sz w:val="19"/>
                <w:szCs w:val="19"/>
              </w:rPr>
              <w:t xml:space="preserve">Action</w:t>
            </w:r>
          </w:p>
        </w:tc>
        <w:tc>
          <w:tcPr>
            <w:tcW w:type="dxa" w:w="1681"/>
            <w:shd w:fill="0E3B2C" w:color="auto" w:val="clear"/>
            <w:tcMar>
              <w:top w:type="dxa" w:w="70"/>
              <w:left w:type="dxa" w:w="100"/>
              <w:bottom w:type="dxa" w:w="70"/>
              <w:right w:type="dxa" w:w="100"/>
            </w:tcMar>
          </w:tcPr>
          <w:p>
            <w:pPr>
              <w:spacing w:before="0" w:after="0"/>
            </w:pPr>
            <w:r>
              <w:rPr>
                <w:b/>
                <w:bCs/>
                <w:color w:val="FFFFFF"/>
                <w:sz w:val="19"/>
                <w:szCs w:val="19"/>
              </w:rPr>
              <w:t xml:space="preserve">Owner</w:t>
            </w:r>
          </w:p>
        </w:tc>
        <w:tc>
          <w:tcPr>
            <w:tcW w:type="dxa" w:w="1457"/>
            <w:shd w:fill="0E3B2C" w:color="auto" w:val="clear"/>
            <w:tcMar>
              <w:top w:type="dxa" w:w="70"/>
              <w:left w:type="dxa" w:w="100"/>
              <w:bottom w:type="dxa" w:w="70"/>
              <w:right w:type="dxa" w:w="100"/>
            </w:tcMar>
          </w:tcPr>
          <w:p>
            <w:pPr>
              <w:spacing w:before="0" w:after="0"/>
            </w:pPr>
            <w:r>
              <w:rPr>
                <w:b/>
                <w:bCs/>
                <w:color w:val="FFFFFF"/>
                <w:sz w:val="19"/>
                <w:szCs w:val="19"/>
              </w:rPr>
              <w:t xml:space="preserve">Deadline</w:t>
            </w:r>
          </w:p>
        </w:tc>
        <w:tc>
          <w:tcPr>
            <w:tcW w:type="dxa" w:w="897"/>
            <w:shd w:fill="0E3B2C" w:color="auto" w:val="clear"/>
            <w:tcMar>
              <w:top w:type="dxa" w:w="70"/>
              <w:left w:type="dxa" w:w="100"/>
              <w:bottom w:type="dxa" w:w="70"/>
              <w:right w:type="dxa" w:w="100"/>
            </w:tcMar>
          </w:tcPr>
          <w:p>
            <w:pPr>
              <w:spacing w:before="0" w:after="0"/>
            </w:pPr>
            <w:r>
              <w:rPr>
                <w:b/>
                <w:bCs/>
                <w:color w:val="FFFFFF"/>
                <w:sz w:val="19"/>
                <w:szCs w:val="19"/>
              </w:rPr>
              <w:t xml:space="preserve">Done</w:t>
            </w:r>
          </w:p>
        </w:tc>
      </w:tr>
      <w:tr>
        <w:trPr>
          <w:cantSplit/>
        </w:trPr>
        <w:tc>
          <w:tcPr>
            <w:tcW w:type="dxa" w:w="5603"/>
            <w:tcMar>
              <w:top w:type="dxa" w:w="70"/>
              <w:left w:type="dxa" w:w="100"/>
              <w:bottom w:type="dxa" w:w="70"/>
              <w:right w:type="dxa" w:w="100"/>
            </w:tcMar>
          </w:tcPr>
          <w:p>
            <w:pPr>
              <w:spacing w:before="0" w:after="0"/>
            </w:pPr>
            <w:r>
              <w:rPr>
                <w:b w:val="false"/>
                <w:bCs w:val="false"/>
                <w:color w:val="0A7A52"/>
                <w:sz w:val="19"/>
                <w:szCs w:val="19"/>
              </w:rPr>
              <w:t xml:space="preserve">[e.g. update policy for SI 2026/621 sterling thresholds and FATF call-for-action wording]</w:t>
            </w:r>
          </w:p>
        </w:tc>
        <w:tc>
          <w:tcPr>
            <w:tcW w:type="dxa" w:w="1681"/>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5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97"/>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603"/>
            <w:tcMar>
              <w:top w:type="dxa" w:w="70"/>
              <w:left w:type="dxa" w:w="100"/>
              <w:bottom w:type="dxa" w:w="70"/>
              <w:right w:type="dxa" w:w="100"/>
            </w:tcMar>
          </w:tcPr>
          <w:p>
            <w:pPr>
              <w:spacing w:before="0" w:after="0"/>
            </w:pPr>
            <w:r>
              <w:rPr>
                <w:b w:val="false"/>
                <w:bCs w:val="false"/>
                <w:color w:val="0A7A52"/>
                <w:sz w:val="19"/>
                <w:szCs w:val="19"/>
              </w:rPr>
              <w:t xml:space="preserve">[e.g. refresher training on source of funds]</w:t>
            </w:r>
          </w:p>
        </w:tc>
        <w:tc>
          <w:tcPr>
            <w:tcW w:type="dxa" w:w="1681"/>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5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97"/>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603"/>
            <w:tcMar>
              <w:top w:type="dxa" w:w="70"/>
              <w:left w:type="dxa" w:w="100"/>
              <w:bottom w:type="dxa" w:w="70"/>
              <w:right w:type="dxa" w:w="100"/>
            </w:tcMar>
          </w:tcPr>
          <w:p>
            <w:pPr>
              <w:spacing w:before="0" w:after="0"/>
            </w:pPr>
            <w:r>
              <w:rPr>
                <w:b w:val="false"/>
                <w:bCs w:val="false"/>
                <w:color w:val="0A7A52"/>
                <w:sz w:val="19"/>
                <w:szCs w:val="19"/>
              </w:rPr>
              <w:t xml:space="preserve">[e.g. review of all high-risk files]</w:t>
            </w:r>
          </w:p>
        </w:tc>
        <w:tc>
          <w:tcPr>
            <w:tcW w:type="dxa" w:w="1681"/>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57"/>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97"/>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1"/>
      </w:pPr>
      <w:r>
        <w:t xml:space="preserve">7. Approval and review</w:t>
      </w:r>
    </w:p>
    <w:p>
      <w:pPr>
        <w:spacing w:after="120"/>
      </w:pPr>
      <w:r>
        <w:t xml:space="preserve">We review this assessment at least once a year and also when we add a new service, client type, country or technology, when our management or ownership changes, when the law or the FATF list changes, or when we identify a new risk. If nothing has changed, we record the review and why the assessment remains valid.</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Approved by (senior manager)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Signature</w:t>
            </w:r>
          </w:p>
        </w:tc>
        <w:tc>
          <w:tcPr>
            <w:tcW w:type="dxa" w:w="5976"/>
            <w:tcMar>
              <w:top w:type="dxa" w:w="70"/>
              <w:left w:type="dxa" w:w="100"/>
              <w:bottom w:type="dxa" w:w="70"/>
              <w:right w:type="dxa" w:w="100"/>
            </w:tcMar>
          </w:tcPr>
          <w:p>
            <w:pPr>
              <w:spacing w:before="0" w:after="0"/>
            </w:pP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004"/>
        <w:gridCol w:w="1406"/>
        <w:gridCol w:w="1606"/>
        <w:gridCol w:w="4016"/>
        <w:gridCol w:w="1606"/>
      </w:tblGrid>
      <w:tr>
        <w:trPr>
          <w:cantSplit/>
          <w:tblHeader/>
        </w:trPr>
        <w:tc>
          <w:tcPr>
            <w:tcW w:type="dxa" w:w="1004"/>
            <w:shd w:fill="0E3B2C" w:color="auto" w:val="clear"/>
            <w:tcMar>
              <w:top w:type="dxa" w:w="70"/>
              <w:left w:type="dxa" w:w="100"/>
              <w:bottom w:type="dxa" w:w="70"/>
              <w:right w:type="dxa" w:w="100"/>
            </w:tcMar>
          </w:tcPr>
          <w:p>
            <w:pPr>
              <w:spacing w:before="0" w:after="0"/>
            </w:pPr>
            <w:r>
              <w:rPr>
                <w:b/>
                <w:bCs/>
                <w:color w:val="FFFFFF"/>
                <w:sz w:val="19"/>
                <w:szCs w:val="19"/>
              </w:rPr>
              <w:t xml:space="preserve">Version</w:t>
            </w:r>
          </w:p>
        </w:tc>
        <w:tc>
          <w:tcPr>
            <w:tcW w:type="dxa" w:w="1406"/>
            <w:shd w:fill="0E3B2C" w:color="auto" w:val="clear"/>
            <w:tcMar>
              <w:top w:type="dxa" w:w="70"/>
              <w:left w:type="dxa" w:w="100"/>
              <w:bottom w:type="dxa" w:w="70"/>
              <w:right w:type="dxa" w:w="100"/>
            </w:tcMar>
          </w:tcPr>
          <w:p>
            <w:pPr>
              <w:spacing w:before="0" w:after="0"/>
            </w:pPr>
            <w:r>
              <w:rPr>
                <w:b/>
                <w:bCs/>
                <w:color w:val="FFFFFF"/>
                <w:sz w:val="19"/>
                <w:szCs w:val="19"/>
              </w:rPr>
              <w:t xml:space="preserve">Date</w:t>
            </w:r>
          </w:p>
        </w:tc>
        <w:tc>
          <w:tcPr>
            <w:tcW w:type="dxa" w:w="1606"/>
            <w:shd w:fill="0E3B2C" w:color="auto" w:val="clear"/>
            <w:tcMar>
              <w:top w:type="dxa" w:w="70"/>
              <w:left w:type="dxa" w:w="100"/>
              <w:bottom w:type="dxa" w:w="70"/>
              <w:right w:type="dxa" w:w="100"/>
            </w:tcMar>
          </w:tcPr>
          <w:p>
            <w:pPr>
              <w:spacing w:before="0" w:after="0"/>
            </w:pPr>
            <w:r>
              <w:rPr>
                <w:b/>
                <w:bCs/>
                <w:color w:val="FFFFFF"/>
                <w:sz w:val="19"/>
                <w:szCs w:val="19"/>
              </w:rPr>
              <w:t xml:space="preserve">Reviewed by</w:t>
            </w:r>
          </w:p>
        </w:tc>
        <w:tc>
          <w:tcPr>
            <w:tcW w:type="dxa" w:w="4016"/>
            <w:shd w:fill="0E3B2C" w:color="auto" w:val="clear"/>
            <w:tcMar>
              <w:top w:type="dxa" w:w="70"/>
              <w:left w:type="dxa" w:w="100"/>
              <w:bottom w:type="dxa" w:w="70"/>
              <w:right w:type="dxa" w:w="100"/>
            </w:tcMar>
          </w:tcPr>
          <w:p>
            <w:pPr>
              <w:spacing w:before="0" w:after="0"/>
            </w:pPr>
            <w:r>
              <w:rPr>
                <w:b/>
                <w:bCs/>
                <w:color w:val="FFFFFF"/>
                <w:sz w:val="19"/>
                <w:szCs w:val="19"/>
              </w:rPr>
              <w:t xml:space="preserve">Summary of changes (or “no changes, still valid because…”)</w:t>
            </w:r>
          </w:p>
        </w:tc>
        <w:tc>
          <w:tcPr>
            <w:tcW w:type="dxa" w:w="1606"/>
            <w:shd w:fill="0E3B2C" w:color="auto" w:val="clear"/>
            <w:tcMar>
              <w:top w:type="dxa" w:w="70"/>
              <w:left w:type="dxa" w:w="100"/>
              <w:bottom w:type="dxa" w:w="70"/>
              <w:right w:type="dxa" w:w="100"/>
            </w:tcMar>
          </w:tcPr>
          <w:p>
            <w:pPr>
              <w:spacing w:before="0" w:after="0"/>
            </w:pPr>
            <w:r>
              <w:rPr>
                <w:b/>
                <w:bCs/>
                <w:color w:val="FFFFFF"/>
                <w:sz w:val="19"/>
                <w:szCs w:val="19"/>
              </w:rPr>
              <w:t xml:space="preserve">Approved by</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[1.0]</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[Date]</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[Name]</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[First version]</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[Name]</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Sources</w:t>
      </w:r>
    </w:p>
    <w:p>
      <w:r>
        <w:rPr>
          <w:color w:val="5F6663"/>
          <w:sz w:val="18"/>
          <w:szCs w:val="18"/>
        </w:rPr>
        <w:t xml:space="preserve">Checked on 23 October 2026. Laws and guidance change: check the current versions before relying on this template.</w:t>
      </w:r>
    </w:p>
    <w:p>
      <w:pPr>
        <w:pStyle w:val="ListParagraph"/>
        <w:numPr>
          <w:ilvl w:val="0"/>
          <w:numId w:val="2"/>
        </w:numPr>
        <w:spacing w:after="60"/>
      </w:pPr>
      <w:r>
        <w:t xml:space="preserve">The Money Laundering, Terrorist Financing and Transfer of Funds (Information on the Payer) Regulations 2017 (SI 2017/692), as amended: legislation.gov.uk/uksi/2017/692</w:t>
      </w:r>
    </w:p>
    <w:p>
      <w:pPr>
        <w:pStyle w:val="ListParagraph"/>
        <w:numPr>
          <w:ilvl w:val="0"/>
          <w:numId w:val="2"/>
        </w:numPr>
        <w:spacing w:after="60"/>
      </w:pPr>
      <w:r>
        <w:t xml:space="preserve">The Money Laundering and Terrorist Financing (Amendment) Regulations 2026 (SI 2026/621): legislation.gov.uk/uksi/2026/621/made</w:t>
      </w:r>
    </w:p>
    <w:p>
      <w:pPr>
        <w:pStyle w:val="ListParagraph"/>
        <w:numPr>
          <w:ilvl w:val="0"/>
          <w:numId w:val="2"/>
        </w:numPr>
        <w:spacing w:after="60"/>
      </w:pPr>
      <w:r>
        <w:t xml:space="preserve">HMRC, Anti-money laundering guidance for supervised businesses (updated 13 October 2026): gov.uk/hmrc-internal-manuals/anti-money-laundering-guidance-for-supervised-businesses</w:t>
      </w:r>
    </w:p>
    <w:p>
      <w:pPr>
        <w:pStyle w:val="ListParagraph"/>
        <w:numPr>
          <w:ilvl w:val="0"/>
          <w:numId w:val="2"/>
        </w:numPr>
        <w:spacing w:after="60"/>
      </w:pPr>
      <w:r>
        <w:t xml:space="preserve">HMRC AMLG1800 Risk assessment and AMLG1900 Policies, controls and procedures</w:t>
      </w:r>
    </w:p>
    <w:p>
      <w:pPr>
        <w:pStyle w:val="ListParagraph"/>
        <w:numPr>
          <w:ilvl w:val="0"/>
          <w:numId w:val="2"/>
        </w:numPr>
        <w:spacing w:after="60"/>
      </w:pPr>
      <w:r>
        <w:t xml:space="preserve">HMRC AMLG2200 Estate agent business guidance, AMLG2300 Letting agent business guidance and AMLG3200 Risk assessment of estate agency businesses</w:t>
      </w:r>
    </w:p>
    <w:p>
      <w:pPr>
        <w:pStyle w:val="ListParagraph"/>
        <w:numPr>
          <w:ilvl w:val="0"/>
          <w:numId w:val="2"/>
        </w:numPr>
        <w:spacing w:after="60"/>
      </w:pPr>
      <w:r>
        <w:t xml:space="preserve">HMRC AMLG3700 Risk assessment of accountancy service providers</w:t>
      </w:r>
    </w:p>
    <w:p>
      <w:pPr>
        <w:pStyle w:val="ListParagraph"/>
        <w:numPr>
          <w:ilvl w:val="0"/>
          <w:numId w:val="2"/>
        </w:numPr>
        <w:spacing w:after="60"/>
      </w:pPr>
      <w:r>
        <w:t xml:space="preserve">CCAB, Anti-Money Laundering and Counter-Terrorist Financing Guidance for the Accountancy Sector 2026 (law as at 1 July 2026): ccab.org.uk</w:t>
      </w:r>
    </w:p>
    <w:p>
      <w:pPr>
        <w:pStyle w:val="ListParagraph"/>
        <w:numPr>
          <w:ilvl w:val="0"/>
          <w:numId w:val="2"/>
        </w:numPr>
        <w:spacing w:after="60"/>
      </w:pPr>
      <w:r>
        <w:t xml:space="preserve">HM Treasury and Home Office, National risk assessment of money laundering and terrorist financing 2025: gov.uk</w:t>
      </w:r>
    </w:p>
    <w:p>
      <w:pPr>
        <w:pStyle w:val="ListParagraph"/>
        <w:numPr>
          <w:ilvl w:val="0"/>
          <w:numId w:val="2"/>
        </w:numPr>
        <w:spacing w:after="60"/>
      </w:pPr>
      <w:r>
        <w:t xml:space="preserve">FATF, High-risk jurisdictions subject to a call for action (check the latest publication): fatf-gafi.org</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F6663"/>
        <w:sz w:val="16"/>
        <w:szCs w:val="16"/>
      </w:rPr>
      <w:t xml:space="preserve">Firm-wide AML risk assessment   |   </w:t>
    </w:r>
    <w:r>
      <w:rPr>
        <w:color w:val="5F6663"/>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663"/>
        <w:sz w:val="16"/>
        <w:szCs w:val="16"/>
      </w:rPr>
      <w:t xml:space="preserve">AML Buddy — free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320"/>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spacing w:after="80"/>
    </w:pPr>
    <w:rPr>
      <w:rFonts w:ascii="Arial" w:cs="Arial" w:eastAsia="Arial" w:hAnsi="Arial"/>
      <w:b/>
      <w:bCs/>
      <w:color w:val="0E3B2C"/>
      <w:sz w:val="44"/>
      <w:szCs w:val="44"/>
    </w:rPr>
  </w:style>
  <w:style w:type="paragraph" w:styleId="Heading1">
    <w:name w:val="Heading 1"/>
    <w:basedOn w:val="Normal"/>
    <w:next w:val="Normal"/>
    <w:qFormat/>
    <w:pPr>
      <w:keepNext/>
      <w:spacing w:before="360" w:after="140"/>
    </w:pPr>
    <w:rPr>
      <w:rFonts w:ascii="Arial" w:cs="Arial" w:eastAsia="Arial" w:hAnsi="Arial"/>
      <w:b/>
      <w:bCs/>
      <w:color w:val="0E3B2C"/>
      <w:sz w:val="30"/>
      <w:szCs w:val="30"/>
    </w:rPr>
  </w:style>
  <w:style w:type="paragraph" w:styleId="Heading2">
    <w:name w:val="Heading 2"/>
    <w:basedOn w:val="Normal"/>
    <w:next w:val="Normal"/>
    <w:qFormat/>
    <w:pPr>
      <w:keepNext/>
      <w:spacing w:before="280" w:after="100"/>
    </w:pPr>
    <w:rPr>
      <w:rFonts w:ascii="Arial" w:cs="Arial" w:eastAsia="Arial" w:hAnsi="Arial"/>
      <w:b/>
      <w:bCs/>
      <w:color w:val="0E3B2C"/>
      <w:sz w:val="25"/>
      <w:szCs w:val="25"/>
    </w:rPr>
  </w:style>
  <w:style w:type="paragraph" w:styleId="Heading3">
    <w:name w:val="Heading 3"/>
    <w:basedOn w:val="Normal"/>
    <w:next w:val="Normal"/>
    <w:qFormat/>
    <w:pPr>
      <w:keepNext/>
      <w:spacing w:before="200" w:after="80"/>
    </w:pPr>
    <w:rPr>
      <w:rFonts w:ascii="Arial" w:cs="Arial" w:eastAsia="Arial" w:hAnsi="Arial"/>
      <w:b/>
      <w:bCs/>
      <w:color w:val="0A7A5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Firm-wide AML risk assessment</dc:title>
  <dc:creator>AML Buddy</dc:creator>
  <dc:description>Template for a practice-wide or business-wide risk assessment under MLR 2017 regulation 18, with a scoring table</dc:description>
  <cp:lastModifiedBy>Un-named</cp:lastModifiedBy>
  <cp:revision>1</cp:revision>
  <dcterms:created xsi:type="dcterms:W3CDTF">2026-10-23T18:27:28.337Z</dcterms:created>
  <dcterms:modified xsi:type="dcterms:W3CDTF">2026-10-23T18:27:28.337Z</dcterms:modified>
</cp:coreProperties>
</file>

<file path=docProps/custom.xml><?xml version="1.0" encoding="utf-8"?>
<Properties xmlns="http://schemas.openxmlformats.org/officeDocument/2006/custom-properties" xmlns:vt="http://schemas.openxmlformats.org/officeDocument/2006/docPropsVTypes"/>
</file>