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Client risk assessment form</w:t>
      </w:r>
    </w:p>
    <w:p>
      <w:pPr>
        <w:spacing w:after="240"/>
      </w:pPr>
      <w:r>
        <w:rPr>
          <w:color w:val="5F6663"/>
          <w:sz w:val="24"/>
          <w:szCs w:val="24"/>
        </w:rPr>
        <w:t xml:space="preserve">One form per client or matter: CDD level, mandatory enhanced due diligence triggers, PEPs, high-risk countries and source of funds (MLR 2017 regulations 28, 33 and 35)</w:t>
      </w:r>
    </w:p>
    <w:tbl>
      <w:tblPr>
        <w:tblW w:type="dxa" w:w="9638"/>
        <w:tblBorders>
          <w:top w:val="none" w:color="FFFFFF" w:sz="0"/>
          <w:left w:val="single" w:color="0E3B2C" w:sz="24"/>
          <w:bottom w:val="none" w:color="FFFFFF" w:sz="0"/>
          <w:right w:val="none" w:color="FFFFFF" w:sz="0"/>
          <w:insideH w:val="none" w:color="FFFFFF" w:sz="0"/>
          <w:insideV w:val="none" w:color="FFFFFF" w:sz="0"/>
        </w:tblBorders>
      </w:tblPr>
      <w:tblGrid>
        <w:gridCol w:w="9638"/>
      </w:tblGrid>
      <w:tr>
        <w:tc>
          <w:tcPr>
            <w:tcW w:type="dxa" w:w="9638"/>
            <w:shd w:fill="F4F5F4" w:color="auto" w:val="clear"/>
            <w:tcMar>
              <w:top w:type="dxa" w:w="110"/>
              <w:left w:type="dxa" w:w="180"/>
              <w:bottom w:type="dxa" w:w="110"/>
              <w:right w:type="dxa" w:w="160"/>
            </w:tcMar>
          </w:tcPr>
          <w:p>
            <w:pPr>
              <w:spacing w:before="0" w:after="0"/>
            </w:pPr>
            <w:r>
              <w:rPr>
                <w:b/>
                <w:bCs/>
                <w:color w:val="0E3B2C"/>
                <w:sz w:val="19"/>
                <w:szCs w:val="19"/>
              </w:rPr>
              <w:t xml:space="preserve">Important: </w:t>
            </w:r>
            <w:r>
              <w:rPr>
                <w:sz w:val="19"/>
                <w:szCs w:val="19"/>
              </w:rPr>
              <w:t xml:space="preserve">This is a template to adapt, not legal advice. It reflects the Money Laundering Regulations 2017 as amended (including SI 2026/621, in force from 30 June 2026) and supervisor guidance published by 23 October 2026. Before you use it, check it against your AML supervisor’s current guidance (for example HMRC’s anti-money laundering guidance for supervised businesses, the CCAB guidance for the accountancy sector 2026 or the LSAG guidance 2025), adapt it to your own business and delete the guidance notes. Your firm remains responsible for its own compliance. Provided free, as is, without warranty.</w:t>
            </w:r>
          </w:p>
        </w:tc>
      </w:tr>
    </w:tbl>
    <w:p>
      <w:pPr>
        <w:spacing w:before="0" w:after="0"/>
      </w:pPr>
    </w:p>
    <w:p>
      <w:pPr>
        <w:pStyle w:val="Heading2"/>
      </w:pPr>
      <w:r>
        <w:t xml:space="preserve">How to use this template</w:t>
      </w:r>
    </w:p>
    <w:p>
      <w:pPr>
        <w:pStyle w:val="ListParagraph"/>
        <w:numPr>
          <w:ilvl w:val="0"/>
          <w:numId w:val="2"/>
        </w:numPr>
        <w:spacing w:after="60"/>
      </w:pPr>
      <w:r>
        <w:t xml:space="preserve">Replace every </w:t>
      </w:r>
      <w:r>
        <w:rPr>
          <w:color w:val="0A7A52"/>
        </w:rPr>
        <w:t xml:space="preserve">[square-bracket placeholder]</w:t>
      </w:r>
      <w:r>
        <w:t xml:space="preserve"> with your firm’s details. Delete options that do not apply.</w:t>
      </w:r>
    </w:p>
    <w:p>
      <w:pPr>
        <w:pStyle w:val="ListParagraph"/>
        <w:numPr>
          <w:ilvl w:val="0"/>
          <w:numId w:val="2"/>
        </w:numPr>
        <w:spacing w:after="60"/>
      </w:pPr>
      <w:r>
        <w:t xml:space="preserve">Read and then delete the shaded guidance notes before you finalise the document.</w:t>
      </w:r>
    </w:p>
    <w:p>
      <w:pPr>
        <w:pStyle w:val="ListParagraph"/>
        <w:numPr>
          <w:ilvl w:val="0"/>
          <w:numId w:val="2"/>
        </w:numPr>
        <w:spacing w:after="60"/>
      </w:pPr>
      <w:r>
        <w:t xml:space="preserve">Make it describe what your firm actually does. A supervisor will test your day-to-day practice against it, and a generic copy-and-paste document is a common inspection finding.</w:t>
      </w:r>
    </w:p>
    <w:p>
      <w:pPr>
        <w:pStyle w:val="ListParagraph"/>
        <w:numPr>
          <w:ilvl w:val="0"/>
          <w:numId w:val="2"/>
        </w:numPr>
        <w:spacing w:after="60"/>
      </w:pPr>
      <w:r>
        <w:t xml:space="preserve">Complete this form before you start acting for the client, and update it when something changes or at each review.</w:t>
      </w:r>
    </w:p>
    <w:p>
      <w:pPr>
        <w:pStyle w:val="ListParagraph"/>
        <w:numPr>
          <w:ilvl w:val="0"/>
          <w:numId w:val="2"/>
        </w:numPr>
        <w:spacing w:after="60"/>
      </w:pPr>
      <w:r>
        <w:t xml:space="preserve">Keep it on the client file with the CDD checklist and evidence for five years after the relationship ends.</w:t>
      </w:r>
    </w:p>
    <w:tbl>
      <w:tblPr>
        <w:tblW w:type="dxa" w:w="9638"/>
        <w:tblBorders>
          <w:top w:val="none" w:color="FFFFFF" w:sz="0"/>
          <w:left w:val="single" w:color="0A7A52" w:sz="24"/>
          <w:bottom w:val="none" w:color="FFFFFF" w:sz="0"/>
          <w:right w:val="none" w:color="FFFFFF" w:sz="0"/>
          <w:insideH w:val="none" w:color="FFFFFF" w:sz="0"/>
          <w:insideV w:val="none" w:color="FFFFFF" w:sz="0"/>
        </w:tblBorders>
      </w:tblPr>
      <w:tblGrid>
        <w:gridCol w:w="9638"/>
      </w:tblGrid>
      <w:tr>
        <w:tc>
          <w:tcPr>
            <w:tcW w:type="dxa" w:w="9638"/>
            <w:shd w:fill="EEF6F2" w:color="auto" w:val="clear"/>
            <w:tcMar>
              <w:top w:type="dxa" w:w="110"/>
              <w:left w:type="dxa" w:w="180"/>
              <w:bottom w:type="dxa" w:w="110"/>
              <w:right w:type="dxa" w:w="160"/>
            </w:tcMar>
          </w:tcPr>
          <w:p>
            <w:pPr>
              <w:spacing w:before="0" w:after="0"/>
            </w:pPr>
            <w:r>
              <w:rPr>
                <w:b/>
                <w:bCs/>
                <w:color w:val="0E3B2C"/>
                <w:sz w:val="19"/>
                <w:szCs w:val="19"/>
              </w:rPr>
              <w:t xml:space="preserve">Guidance note: </w:t>
            </w:r>
            <w:r>
              <w:rPr>
                <w:sz w:val="19"/>
                <w:szCs w:val="19"/>
              </w:rPr>
              <w:t xml:space="preserve">Regulation 28(12) and (13) say the extent of your CDD must reflect your firm-wide risk assessment and your assessment of the risk in each case, taking into account at least the purpose of the relationship, the size of the transactions and its regularity and duration. Regulation 28(16) means you must be able to show your supervisor that the measures you took were appropriate. This form is that record.</w:t>
            </w:r>
          </w:p>
        </w:tc>
      </w:tr>
    </w:tbl>
    <w:p>
      <w:pPr>
        <w:spacing w:before="0" w:after="0"/>
      </w:pPr>
    </w:p>
    <w:p>
      <w:pPr>
        <w:pStyle w:val="Heading1"/>
      </w:pPr>
      <w:r>
        <w:t xml:space="preserve">1. Client and matter</w:t>
      </w:r>
    </w:p>
    <w:tbl>
      <w:tblPr>
        <w:tblW w:type="dxa" w:w="9638"/>
        <w:tblBorders>
          <w:top w:val="single" w:color="C9D1CD" w:sz="4"/>
          <w:left w:val="single" w:color="C9D1CD" w:sz="4"/>
          <w:bottom w:val="single" w:color="C9D1CD" w:sz="4"/>
          <w:right w:val="single" w:color="C9D1CD" w:sz="4"/>
          <w:insideH w:val="single" w:color="C9D1CD" w:sz="4"/>
          <w:insideV w:val="single" w:color="C9D1CD" w:sz="4"/>
        </w:tblBorders>
      </w:tblPr>
      <w:tblGrid>
        <w:gridCol w:w="3662"/>
        <w:gridCol w:w="5976"/>
      </w:tblGrid>
      <w:tr>
        <w:trPr>
          <w:cantSplit/>
        </w:trPr>
        <w:tc>
          <w:tcPr>
            <w:tcW w:type="dxa" w:w="3662"/>
            <w:shd w:fill="EEF3F1" w:color="auto" w:val="clear"/>
            <w:tcMar>
              <w:top w:type="dxa" w:w="70"/>
              <w:left w:type="dxa" w:w="100"/>
              <w:bottom w:type="dxa" w:w="70"/>
              <w:right w:type="dxa" w:w="100"/>
            </w:tcMar>
          </w:tcPr>
          <w:p>
            <w:pPr>
              <w:spacing w:before="0" w:after="0"/>
            </w:pPr>
            <w:r>
              <w:rPr>
                <w:b/>
                <w:bCs/>
                <w:sz w:val="19"/>
                <w:szCs w:val="19"/>
              </w:rPr>
              <w:t xml:space="preserve">Client name</w:t>
            </w:r>
          </w:p>
        </w:tc>
        <w:tc>
          <w:tcPr>
            <w:tcW w:type="dxa" w:w="5976"/>
            <w:tcMar>
              <w:top w:type="dxa" w:w="70"/>
              <w:left w:type="dxa" w:w="100"/>
              <w:bottom w:type="dxa" w:w="70"/>
              <w:right w:type="dxa" w:w="100"/>
            </w:tcMar>
          </w:tcPr>
          <w:p>
            <w:pPr>
              <w:spacing w:before="0" w:after="0"/>
            </w:pPr>
            <w:r>
              <w:rPr>
                <w:b w:val="false"/>
                <w:bCs w:val="false"/>
                <w:color w:val="0A7A52"/>
                <w:sz w:val="19"/>
                <w:szCs w:val="19"/>
              </w:rPr>
              <w:t xml:space="preserve">[ ]</w:t>
            </w:r>
          </w:p>
        </w:tc>
      </w:tr>
      <w:tr>
        <w:trPr>
          <w:cantSplit/>
        </w:trPr>
        <w:tc>
          <w:tcPr>
            <w:tcW w:type="dxa" w:w="3662"/>
            <w:shd w:fill="EEF3F1" w:color="auto" w:val="clear"/>
            <w:tcMar>
              <w:top w:type="dxa" w:w="70"/>
              <w:left w:type="dxa" w:w="100"/>
              <w:bottom w:type="dxa" w:w="70"/>
              <w:right w:type="dxa" w:w="100"/>
            </w:tcMar>
          </w:tcPr>
          <w:p>
            <w:pPr>
              <w:spacing w:before="0" w:after="0"/>
            </w:pPr>
            <w:r>
              <w:rPr>
                <w:b/>
                <w:bCs/>
                <w:sz w:val="19"/>
                <w:szCs w:val="19"/>
              </w:rPr>
              <w:t xml:space="preserve">Client type</w:t>
            </w:r>
          </w:p>
        </w:tc>
        <w:tc>
          <w:tcPr>
            <w:tcW w:type="dxa" w:w="5976"/>
            <w:tcMar>
              <w:top w:type="dxa" w:w="70"/>
              <w:left w:type="dxa" w:w="100"/>
              <w:bottom w:type="dxa" w:w="70"/>
              <w:right w:type="dxa" w:w="100"/>
            </w:tcMar>
          </w:tcPr>
          <w:p>
            <w:pPr>
              <w:spacing w:before="0" w:after="0"/>
            </w:pPr>
            <w:r>
              <w:rPr>
                <w:b w:val="false"/>
                <w:bCs w:val="false"/>
                <w:color w:val="0A7A52"/>
                <w:sz w:val="19"/>
                <w:szCs w:val="19"/>
              </w:rPr>
              <w:t xml:space="preserve">[Individual / sole trader / company / LLP / partnership / trust / charity / other]</w:t>
            </w:r>
          </w:p>
        </w:tc>
      </w:tr>
      <w:tr>
        <w:trPr>
          <w:cantSplit/>
        </w:trPr>
        <w:tc>
          <w:tcPr>
            <w:tcW w:type="dxa" w:w="3662"/>
            <w:shd w:fill="EEF3F1" w:color="auto" w:val="clear"/>
            <w:tcMar>
              <w:top w:type="dxa" w:w="70"/>
              <w:left w:type="dxa" w:w="100"/>
              <w:bottom w:type="dxa" w:w="70"/>
              <w:right w:type="dxa" w:w="100"/>
            </w:tcMar>
          </w:tcPr>
          <w:p>
            <w:pPr>
              <w:spacing w:before="0" w:after="0"/>
            </w:pPr>
            <w:r>
              <w:rPr>
                <w:b/>
                <w:bCs/>
                <w:sz w:val="19"/>
                <w:szCs w:val="19"/>
              </w:rPr>
              <w:t xml:space="preserve">Our role / service</w:t>
            </w:r>
          </w:p>
        </w:tc>
        <w:tc>
          <w:tcPr>
            <w:tcW w:type="dxa" w:w="5976"/>
            <w:tcMar>
              <w:top w:type="dxa" w:w="70"/>
              <w:left w:type="dxa" w:w="100"/>
              <w:bottom w:type="dxa" w:w="70"/>
              <w:right w:type="dxa" w:w="100"/>
            </w:tcMar>
          </w:tcPr>
          <w:p>
            <w:pPr>
              <w:spacing w:before="0" w:after="0"/>
            </w:pPr>
            <w:r>
              <w:rPr>
                <w:b w:val="false"/>
                <w:bCs w:val="false"/>
                <w:color w:val="0A7A52"/>
                <w:sz w:val="19"/>
                <w:szCs w:val="19"/>
              </w:rPr>
              <w:t xml:space="preserve">[e.g. selling agent for seller; buyer of [address]</w:t>
            </w:r>
            <w:r>
              <w:rPr>
                <w:b w:val="false"/>
                <w:bCs w:val="false"/>
                <w:sz w:val="19"/>
                <w:szCs w:val="19"/>
              </w:rPr>
              <w:t xml:space="preserve"> / annual accounts and tax return]</w:t>
            </w:r>
          </w:p>
        </w:tc>
      </w:tr>
      <w:tr>
        <w:trPr>
          <w:cantSplit/>
        </w:trPr>
        <w:tc>
          <w:tcPr>
            <w:tcW w:type="dxa" w:w="3662"/>
            <w:shd w:fill="EEF3F1" w:color="auto" w:val="clear"/>
            <w:tcMar>
              <w:top w:type="dxa" w:w="70"/>
              <w:left w:type="dxa" w:w="100"/>
              <w:bottom w:type="dxa" w:w="70"/>
              <w:right w:type="dxa" w:w="100"/>
            </w:tcMar>
          </w:tcPr>
          <w:p>
            <w:pPr>
              <w:spacing w:before="0" w:after="0"/>
            </w:pPr>
            <w:r>
              <w:rPr>
                <w:b/>
                <w:bCs/>
                <w:sz w:val="19"/>
                <w:szCs w:val="19"/>
              </w:rPr>
              <w:t xml:space="preserve">Purpose and intended nature of the relationship</w:t>
            </w:r>
          </w:p>
        </w:tc>
        <w:tc>
          <w:tcPr>
            <w:tcW w:type="dxa" w:w="5976"/>
            <w:tcMar>
              <w:top w:type="dxa" w:w="70"/>
              <w:left w:type="dxa" w:w="100"/>
              <w:bottom w:type="dxa" w:w="70"/>
              <w:right w:type="dxa" w:w="100"/>
            </w:tcMar>
          </w:tcPr>
          <w:p>
            <w:pPr>
              <w:spacing w:before="0" w:after="0"/>
            </w:pPr>
            <w:r>
              <w:rPr>
                <w:b w:val="false"/>
                <w:bCs w:val="false"/>
                <w:color w:val="0A7A52"/>
                <w:sz w:val="19"/>
                <w:szCs w:val="19"/>
              </w:rPr>
              <w:t xml:space="preserve">[Why the client needs us, what we expect to happen, expected values and timescale]</w:t>
            </w:r>
          </w:p>
        </w:tc>
      </w:tr>
      <w:tr>
        <w:trPr>
          <w:cantSplit/>
        </w:trPr>
        <w:tc>
          <w:tcPr>
            <w:tcW w:type="dxa" w:w="3662"/>
            <w:shd w:fill="EEF3F1" w:color="auto" w:val="clear"/>
            <w:tcMar>
              <w:top w:type="dxa" w:w="70"/>
              <w:left w:type="dxa" w:w="100"/>
              <w:bottom w:type="dxa" w:w="70"/>
              <w:right w:type="dxa" w:w="100"/>
            </w:tcMar>
          </w:tcPr>
          <w:p>
            <w:pPr>
              <w:spacing w:before="0" w:after="0"/>
            </w:pPr>
            <w:r>
              <w:rPr>
                <w:b/>
                <w:bCs/>
                <w:sz w:val="19"/>
                <w:szCs w:val="19"/>
              </w:rPr>
              <w:t xml:space="preserve">Matter reference</w:t>
            </w:r>
          </w:p>
        </w:tc>
        <w:tc>
          <w:tcPr>
            <w:tcW w:type="dxa" w:w="5976"/>
            <w:tcMar>
              <w:top w:type="dxa" w:w="70"/>
              <w:left w:type="dxa" w:w="100"/>
              <w:bottom w:type="dxa" w:w="70"/>
              <w:right w:type="dxa" w:w="100"/>
            </w:tcMar>
          </w:tcPr>
          <w:p>
            <w:pPr>
              <w:spacing w:before="0" w:after="0"/>
            </w:pPr>
            <w:r>
              <w:rPr>
                <w:b w:val="false"/>
                <w:bCs w:val="false"/>
                <w:color w:val="0A7A52"/>
                <w:sz w:val="19"/>
                <w:szCs w:val="19"/>
              </w:rPr>
              <w:t xml:space="preserve">[ ]</w:t>
            </w:r>
          </w:p>
        </w:tc>
      </w:tr>
      <w:tr>
        <w:trPr>
          <w:cantSplit/>
        </w:trPr>
        <w:tc>
          <w:tcPr>
            <w:tcW w:type="dxa" w:w="3662"/>
            <w:shd w:fill="EEF3F1" w:color="auto" w:val="clear"/>
            <w:tcMar>
              <w:top w:type="dxa" w:w="70"/>
              <w:left w:type="dxa" w:w="100"/>
              <w:bottom w:type="dxa" w:w="70"/>
              <w:right w:type="dxa" w:w="100"/>
            </w:tcMar>
          </w:tcPr>
          <w:p>
            <w:pPr>
              <w:spacing w:before="0" w:after="0"/>
            </w:pPr>
            <w:r>
              <w:rPr>
                <w:b/>
                <w:bCs/>
                <w:sz w:val="19"/>
                <w:szCs w:val="19"/>
              </w:rPr>
              <w:t xml:space="preserve">Assessed by</w:t>
            </w:r>
          </w:p>
        </w:tc>
        <w:tc>
          <w:tcPr>
            <w:tcW w:type="dxa" w:w="5976"/>
            <w:tcMar>
              <w:top w:type="dxa" w:w="70"/>
              <w:left w:type="dxa" w:w="100"/>
              <w:bottom w:type="dxa" w:w="70"/>
              <w:right w:type="dxa" w:w="100"/>
            </w:tcMar>
          </w:tcPr>
          <w:p>
            <w:pPr>
              <w:spacing w:before="0" w:after="0"/>
            </w:pPr>
            <w:r>
              <w:rPr>
                <w:b w:val="false"/>
                <w:bCs w:val="false"/>
                <w:color w:val="0A7A52"/>
                <w:sz w:val="19"/>
                <w:szCs w:val="19"/>
              </w:rPr>
              <w:t xml:space="preserve">[Name]</w:t>
            </w:r>
          </w:p>
        </w:tc>
      </w:tr>
      <w:tr>
        <w:trPr>
          <w:cantSplit/>
        </w:trPr>
        <w:tc>
          <w:tcPr>
            <w:tcW w:type="dxa" w:w="3662"/>
            <w:shd w:fill="EEF3F1" w:color="auto" w:val="clear"/>
            <w:tcMar>
              <w:top w:type="dxa" w:w="70"/>
              <w:left w:type="dxa" w:w="100"/>
              <w:bottom w:type="dxa" w:w="70"/>
              <w:right w:type="dxa" w:w="100"/>
            </w:tcMar>
          </w:tcPr>
          <w:p>
            <w:pPr>
              <w:spacing w:before="0" w:after="0"/>
            </w:pPr>
            <w:r>
              <w:rPr>
                <w:b/>
                <w:bCs/>
                <w:sz w:val="19"/>
                <w:szCs w:val="19"/>
              </w:rPr>
              <w:t xml:space="preserve">Date</w:t>
            </w:r>
          </w:p>
        </w:tc>
        <w:tc>
          <w:tcPr>
            <w:tcW w:type="dxa" w:w="5976"/>
            <w:tcMar>
              <w:top w:type="dxa" w:w="70"/>
              <w:left w:type="dxa" w:w="100"/>
              <w:bottom w:type="dxa" w:w="70"/>
              <w:right w:type="dxa" w:w="100"/>
            </w:tcMar>
          </w:tcPr>
          <w:p>
            <w:pPr>
              <w:spacing w:before="0" w:after="0"/>
            </w:pPr>
            <w:r>
              <w:rPr>
                <w:b w:val="false"/>
                <w:bCs w:val="false"/>
                <w:color w:val="0A7A52"/>
                <w:sz w:val="19"/>
                <w:szCs w:val="19"/>
              </w:rPr>
              <w:t xml:space="preserve">[ ]</w:t>
            </w:r>
          </w:p>
        </w:tc>
      </w:tr>
    </w:tbl>
    <w:p>
      <w:pPr>
        <w:spacing w:before="0" w:after="0"/>
      </w:pPr>
    </w:p>
    <w:p>
      <w:pPr>
        <w:pStyle w:val="Heading1"/>
      </w:pPr>
      <w:r>
        <w:t xml:space="preserve">2. Mandatory EDD triggers (regulation 33(1))</w:t>
      </w:r>
    </w:p>
    <w:p>
      <w:pPr>
        <w:spacing w:after="120"/>
      </w:pPr>
      <w:r>
        <w:t xml:space="preserve">If any answer is Yes, enhanced due diligence and enhanced ongoing monitoring are required. Go to section 5.</w:t>
      </w:r>
    </w:p>
    <w:tbl>
      <w:tblPr>
        <w:tblW w:type="dxa" w:w="9638"/>
        <w:tblBorders>
          <w:top w:val="single" w:color="C9D1CD" w:sz="4"/>
          <w:left w:val="single" w:color="C9D1CD" w:sz="4"/>
          <w:bottom w:val="single" w:color="C9D1CD" w:sz="4"/>
          <w:right w:val="single" w:color="C9D1CD" w:sz="4"/>
          <w:insideH w:val="single" w:color="C9D1CD" w:sz="4"/>
          <w:insideV w:val="single" w:color="C9D1CD" w:sz="4"/>
        </w:tblBorders>
      </w:tblPr>
      <w:tblGrid>
        <w:gridCol w:w="5238"/>
        <w:gridCol w:w="1257"/>
        <w:gridCol w:w="3143"/>
      </w:tblGrid>
      <w:tr>
        <w:trPr>
          <w:cantSplit/>
          <w:tblHeader/>
        </w:trPr>
        <w:tc>
          <w:tcPr>
            <w:tcW w:type="dxa" w:w="5238"/>
            <w:shd w:fill="0E3B2C" w:color="auto" w:val="clear"/>
            <w:tcMar>
              <w:top w:type="dxa" w:w="70"/>
              <w:left w:type="dxa" w:w="100"/>
              <w:bottom w:type="dxa" w:w="70"/>
              <w:right w:type="dxa" w:w="100"/>
            </w:tcMar>
          </w:tcPr>
          <w:p>
            <w:pPr>
              <w:spacing w:before="0" w:after="0"/>
            </w:pPr>
            <w:r>
              <w:rPr>
                <w:b/>
                <w:bCs/>
                <w:color w:val="FFFFFF"/>
                <w:sz w:val="19"/>
                <w:szCs w:val="19"/>
              </w:rPr>
              <w:t xml:space="preserve">Question</w:t>
            </w:r>
          </w:p>
        </w:tc>
        <w:tc>
          <w:tcPr>
            <w:tcW w:type="dxa" w:w="1257"/>
            <w:shd w:fill="0E3B2C" w:color="auto" w:val="clear"/>
            <w:tcMar>
              <w:top w:type="dxa" w:w="70"/>
              <w:left w:type="dxa" w:w="100"/>
              <w:bottom w:type="dxa" w:w="70"/>
              <w:right w:type="dxa" w:w="100"/>
            </w:tcMar>
          </w:tcPr>
          <w:p>
            <w:pPr>
              <w:spacing w:before="0" w:after="0"/>
            </w:pPr>
            <w:r>
              <w:rPr>
                <w:b/>
                <w:bCs/>
                <w:color w:val="FFFFFF"/>
                <w:sz w:val="19"/>
                <w:szCs w:val="19"/>
              </w:rPr>
              <w:t xml:space="preserve">Answer</w:t>
            </w:r>
          </w:p>
        </w:tc>
        <w:tc>
          <w:tcPr>
            <w:tcW w:type="dxa" w:w="3143"/>
            <w:shd w:fill="0E3B2C" w:color="auto" w:val="clear"/>
            <w:tcMar>
              <w:top w:type="dxa" w:w="70"/>
              <w:left w:type="dxa" w:w="100"/>
              <w:bottom w:type="dxa" w:w="70"/>
              <w:right w:type="dxa" w:w="100"/>
            </w:tcMar>
          </w:tcPr>
          <w:p>
            <w:pPr>
              <w:spacing w:before="0" w:after="0"/>
            </w:pPr>
            <w:r>
              <w:rPr>
                <w:b/>
                <w:bCs/>
                <w:color w:val="FFFFFF"/>
                <w:sz w:val="19"/>
                <w:szCs w:val="19"/>
              </w:rPr>
              <w:t xml:space="preserve">Notes and evidence</w:t>
            </w:r>
          </w:p>
        </w:tc>
      </w:tr>
      <w:tr>
        <w:trPr>
          <w:cantSplit/>
        </w:trPr>
        <w:tc>
          <w:tcPr>
            <w:tcW w:type="dxa" w:w="5238"/>
            <w:tcMar>
              <w:top w:type="dxa" w:w="70"/>
              <w:left w:type="dxa" w:w="100"/>
              <w:bottom w:type="dxa" w:w="70"/>
              <w:right w:type="dxa" w:w="100"/>
            </w:tcMar>
          </w:tcPr>
          <w:p>
            <w:pPr>
              <w:spacing w:before="0" w:after="0"/>
            </w:pPr>
            <w:r>
              <w:rPr>
                <w:b w:val="false"/>
                <w:bCs w:val="false"/>
                <w:sz w:val="19"/>
                <w:szCs w:val="19"/>
              </w:rPr>
              <w:t xml:space="preserve">Does our firm-wide risk assessment identify this type of client, service or transaction as high risk?</w:t>
            </w:r>
          </w:p>
        </w:tc>
        <w:tc>
          <w:tcPr>
            <w:tcW w:type="dxa" w:w="1257"/>
            <w:tcMar>
              <w:top w:type="dxa" w:w="70"/>
              <w:left w:type="dxa" w:w="100"/>
              <w:bottom w:type="dxa" w:w="70"/>
              <w:right w:type="dxa" w:w="100"/>
            </w:tcMar>
          </w:tcPr>
          <w:p>
            <w:pPr>
              <w:spacing w:before="0" w:after="0"/>
            </w:pPr>
            <w:r>
              <w:rPr>
                <w:b w:val="false"/>
                <w:bCs w:val="false"/>
                <w:color w:val="0A7A52"/>
                <w:sz w:val="19"/>
                <w:szCs w:val="19"/>
              </w:rPr>
              <w:t xml:space="preserve">[Yes / No]</w:t>
            </w:r>
          </w:p>
        </w:tc>
        <w:tc>
          <w:tcPr>
            <w:tcW w:type="dxa" w:w="3143"/>
            <w:tcMar>
              <w:top w:type="dxa" w:w="70"/>
              <w:left w:type="dxa" w:w="100"/>
              <w:bottom w:type="dxa" w:w="70"/>
              <w:right w:type="dxa" w:w="100"/>
            </w:tcMar>
          </w:tcPr>
          <w:p>
            <w:pPr>
              <w:spacing w:before="0" w:after="0"/>
            </w:pPr>
            <w:r>
              <w:rPr>
                <w:b w:val="false"/>
                <w:bCs w:val="false"/>
                <w:color w:val="0A7A52"/>
                <w:sz w:val="19"/>
                <w:szCs w:val="19"/>
              </w:rPr>
              <w:t xml:space="preserve">[ ]</w:t>
            </w:r>
          </w:p>
        </w:tc>
      </w:tr>
      <w:tr>
        <w:trPr>
          <w:cantSplit/>
        </w:trPr>
        <w:tc>
          <w:tcPr>
            <w:tcW w:type="dxa" w:w="5238"/>
            <w:tcMar>
              <w:top w:type="dxa" w:w="70"/>
              <w:left w:type="dxa" w:w="100"/>
              <w:bottom w:type="dxa" w:w="70"/>
              <w:right w:type="dxa" w:w="100"/>
            </w:tcMar>
          </w:tcPr>
          <w:p>
            <w:pPr>
              <w:spacing w:before="0" w:after="0"/>
            </w:pPr>
            <w:r>
              <w:rPr>
                <w:b w:val="false"/>
                <w:bCs w:val="false"/>
                <w:sz w:val="19"/>
                <w:szCs w:val="19"/>
              </w:rPr>
              <w:t xml:space="preserve">Is the client, a beneficial owner or a party to a relevant transaction established in a FATF call for action country? (Check the current FATF list. At the 19 June 2026 update: North Korea, Iran, Myanmar.)</w:t>
            </w:r>
          </w:p>
        </w:tc>
        <w:tc>
          <w:tcPr>
            <w:tcW w:type="dxa" w:w="1257"/>
            <w:tcMar>
              <w:top w:type="dxa" w:w="70"/>
              <w:left w:type="dxa" w:w="100"/>
              <w:bottom w:type="dxa" w:w="70"/>
              <w:right w:type="dxa" w:w="100"/>
            </w:tcMar>
          </w:tcPr>
          <w:p>
            <w:pPr>
              <w:spacing w:before="0" w:after="0"/>
            </w:pPr>
            <w:r>
              <w:rPr>
                <w:b w:val="false"/>
                <w:bCs w:val="false"/>
                <w:color w:val="0A7A52"/>
                <w:sz w:val="19"/>
                <w:szCs w:val="19"/>
              </w:rPr>
              <w:t xml:space="preserve">[Yes / No]</w:t>
            </w:r>
          </w:p>
        </w:tc>
        <w:tc>
          <w:tcPr>
            <w:tcW w:type="dxa" w:w="3143"/>
            <w:tcMar>
              <w:top w:type="dxa" w:w="70"/>
              <w:left w:type="dxa" w:w="100"/>
              <w:bottom w:type="dxa" w:w="70"/>
              <w:right w:type="dxa" w:w="100"/>
            </w:tcMar>
          </w:tcPr>
          <w:p>
            <w:pPr>
              <w:spacing w:before="0" w:after="0"/>
            </w:pPr>
            <w:r>
              <w:rPr>
                <w:b w:val="false"/>
                <w:bCs w:val="false"/>
                <w:color w:val="0A7A52"/>
                <w:sz w:val="19"/>
                <w:szCs w:val="19"/>
              </w:rPr>
              <w:t xml:space="preserve">[ ]</w:t>
            </w:r>
          </w:p>
        </w:tc>
      </w:tr>
      <w:tr>
        <w:trPr>
          <w:cantSplit/>
        </w:trPr>
        <w:tc>
          <w:tcPr>
            <w:tcW w:type="dxa" w:w="5238"/>
            <w:tcMar>
              <w:top w:type="dxa" w:w="70"/>
              <w:left w:type="dxa" w:w="100"/>
              <w:bottom w:type="dxa" w:w="70"/>
              <w:right w:type="dxa" w:w="100"/>
            </w:tcMar>
          </w:tcPr>
          <w:p>
            <w:pPr>
              <w:spacing w:before="0" w:after="0"/>
            </w:pPr>
            <w:r>
              <w:rPr>
                <w:b w:val="false"/>
                <w:bCs w:val="false"/>
                <w:sz w:val="19"/>
                <w:szCs w:val="19"/>
              </w:rPr>
              <w:t xml:space="preserve">Is the client, a beneficial owner, or a family member or known close associate of either, a politically exposed person (PEP)?</w:t>
            </w:r>
          </w:p>
        </w:tc>
        <w:tc>
          <w:tcPr>
            <w:tcW w:type="dxa" w:w="1257"/>
            <w:tcMar>
              <w:top w:type="dxa" w:w="70"/>
              <w:left w:type="dxa" w:w="100"/>
              <w:bottom w:type="dxa" w:w="70"/>
              <w:right w:type="dxa" w:w="100"/>
            </w:tcMar>
          </w:tcPr>
          <w:p>
            <w:pPr>
              <w:spacing w:before="0" w:after="0"/>
            </w:pPr>
            <w:r>
              <w:rPr>
                <w:b w:val="false"/>
                <w:bCs w:val="false"/>
                <w:color w:val="0A7A52"/>
                <w:sz w:val="19"/>
                <w:szCs w:val="19"/>
              </w:rPr>
              <w:t xml:space="preserve">[Yes / No]</w:t>
            </w:r>
          </w:p>
        </w:tc>
        <w:tc>
          <w:tcPr>
            <w:tcW w:type="dxa" w:w="3143"/>
            <w:tcMar>
              <w:top w:type="dxa" w:w="70"/>
              <w:left w:type="dxa" w:w="100"/>
              <w:bottom w:type="dxa" w:w="70"/>
              <w:right w:type="dxa" w:w="100"/>
            </w:tcMar>
          </w:tcPr>
          <w:p>
            <w:pPr>
              <w:spacing w:before="0" w:after="0"/>
            </w:pPr>
            <w:r>
              <w:rPr>
                <w:b w:val="false"/>
                <w:bCs w:val="false"/>
                <w:color w:val="0A7A52"/>
                <w:sz w:val="19"/>
                <w:szCs w:val="19"/>
              </w:rPr>
              <w:t xml:space="preserve">[ ]</w:t>
            </w:r>
          </w:p>
        </w:tc>
      </w:tr>
      <w:tr>
        <w:trPr>
          <w:cantSplit/>
        </w:trPr>
        <w:tc>
          <w:tcPr>
            <w:tcW w:type="dxa" w:w="5238"/>
            <w:tcMar>
              <w:top w:type="dxa" w:w="70"/>
              <w:left w:type="dxa" w:w="100"/>
              <w:bottom w:type="dxa" w:w="70"/>
              <w:right w:type="dxa" w:w="100"/>
            </w:tcMar>
          </w:tcPr>
          <w:p>
            <w:pPr>
              <w:spacing w:before="0" w:after="0"/>
            </w:pPr>
            <w:r>
              <w:rPr>
                <w:b w:val="false"/>
                <w:bCs w:val="false"/>
                <w:sz w:val="19"/>
                <w:szCs w:val="19"/>
              </w:rPr>
              <w:t xml:space="preserve">Has the client given false or stolen identity documents or information? (Also report to the nominated officer now.)</w:t>
            </w:r>
          </w:p>
        </w:tc>
        <w:tc>
          <w:tcPr>
            <w:tcW w:type="dxa" w:w="1257"/>
            <w:tcMar>
              <w:top w:type="dxa" w:w="70"/>
              <w:left w:type="dxa" w:w="100"/>
              <w:bottom w:type="dxa" w:w="70"/>
              <w:right w:type="dxa" w:w="100"/>
            </w:tcMar>
          </w:tcPr>
          <w:p>
            <w:pPr>
              <w:spacing w:before="0" w:after="0"/>
            </w:pPr>
            <w:r>
              <w:rPr>
                <w:b w:val="false"/>
                <w:bCs w:val="false"/>
                <w:color w:val="0A7A52"/>
                <w:sz w:val="19"/>
                <w:szCs w:val="19"/>
              </w:rPr>
              <w:t xml:space="preserve">[Yes / No]</w:t>
            </w:r>
          </w:p>
        </w:tc>
        <w:tc>
          <w:tcPr>
            <w:tcW w:type="dxa" w:w="3143"/>
            <w:tcMar>
              <w:top w:type="dxa" w:w="70"/>
              <w:left w:type="dxa" w:w="100"/>
              <w:bottom w:type="dxa" w:w="70"/>
              <w:right w:type="dxa" w:w="100"/>
            </w:tcMar>
          </w:tcPr>
          <w:p>
            <w:pPr>
              <w:spacing w:before="0" w:after="0"/>
            </w:pPr>
            <w:r>
              <w:rPr>
                <w:b w:val="false"/>
                <w:bCs w:val="false"/>
                <w:color w:val="0A7A52"/>
                <w:sz w:val="19"/>
                <w:szCs w:val="19"/>
              </w:rPr>
              <w:t xml:space="preserve">[ ]</w:t>
            </w:r>
          </w:p>
        </w:tc>
      </w:tr>
      <w:tr>
        <w:trPr>
          <w:cantSplit/>
        </w:trPr>
        <w:tc>
          <w:tcPr>
            <w:tcW w:type="dxa" w:w="5238"/>
            <w:tcMar>
              <w:top w:type="dxa" w:w="70"/>
              <w:left w:type="dxa" w:w="100"/>
              <w:bottom w:type="dxa" w:w="70"/>
              <w:right w:type="dxa" w:w="100"/>
            </w:tcMar>
          </w:tcPr>
          <w:p>
            <w:pPr>
              <w:spacing w:before="0" w:after="0"/>
            </w:pPr>
            <w:r>
              <w:rPr>
                <w:b w:val="false"/>
                <w:bCs w:val="false"/>
                <w:sz w:val="19"/>
                <w:szCs w:val="19"/>
              </w:rPr>
              <w:t xml:space="preserve">Is the transaction unusually complex or unusually large for its nature?</w:t>
            </w:r>
          </w:p>
        </w:tc>
        <w:tc>
          <w:tcPr>
            <w:tcW w:type="dxa" w:w="1257"/>
            <w:tcMar>
              <w:top w:type="dxa" w:w="70"/>
              <w:left w:type="dxa" w:w="100"/>
              <w:bottom w:type="dxa" w:w="70"/>
              <w:right w:type="dxa" w:w="100"/>
            </w:tcMar>
          </w:tcPr>
          <w:p>
            <w:pPr>
              <w:spacing w:before="0" w:after="0"/>
            </w:pPr>
            <w:r>
              <w:rPr>
                <w:b w:val="false"/>
                <w:bCs w:val="false"/>
                <w:color w:val="0A7A52"/>
                <w:sz w:val="19"/>
                <w:szCs w:val="19"/>
              </w:rPr>
              <w:t xml:space="preserve">[Yes / No]</w:t>
            </w:r>
          </w:p>
        </w:tc>
        <w:tc>
          <w:tcPr>
            <w:tcW w:type="dxa" w:w="3143"/>
            <w:tcMar>
              <w:top w:type="dxa" w:w="70"/>
              <w:left w:type="dxa" w:w="100"/>
              <w:bottom w:type="dxa" w:w="70"/>
              <w:right w:type="dxa" w:w="100"/>
            </w:tcMar>
          </w:tcPr>
          <w:p>
            <w:pPr>
              <w:spacing w:before="0" w:after="0"/>
            </w:pPr>
            <w:r>
              <w:rPr>
                <w:b w:val="false"/>
                <w:bCs w:val="false"/>
                <w:color w:val="0A7A52"/>
                <w:sz w:val="19"/>
                <w:szCs w:val="19"/>
              </w:rPr>
              <w:t xml:space="preserve">[ ]</w:t>
            </w:r>
          </w:p>
        </w:tc>
      </w:tr>
      <w:tr>
        <w:trPr>
          <w:cantSplit/>
        </w:trPr>
        <w:tc>
          <w:tcPr>
            <w:tcW w:type="dxa" w:w="5238"/>
            <w:tcMar>
              <w:top w:type="dxa" w:w="70"/>
              <w:left w:type="dxa" w:w="100"/>
              <w:bottom w:type="dxa" w:w="70"/>
              <w:right w:type="dxa" w:w="100"/>
            </w:tcMar>
          </w:tcPr>
          <w:p>
            <w:pPr>
              <w:spacing w:before="0" w:after="0"/>
            </w:pPr>
            <w:r>
              <w:rPr>
                <w:b w:val="false"/>
                <w:bCs w:val="false"/>
                <w:sz w:val="19"/>
                <w:szCs w:val="19"/>
              </w:rPr>
              <w:t xml:space="preserve">Does it follow an unusual pattern, or have no apparent economic or legal purpose?</w:t>
            </w:r>
          </w:p>
        </w:tc>
        <w:tc>
          <w:tcPr>
            <w:tcW w:type="dxa" w:w="1257"/>
            <w:tcMar>
              <w:top w:type="dxa" w:w="70"/>
              <w:left w:type="dxa" w:w="100"/>
              <w:bottom w:type="dxa" w:w="70"/>
              <w:right w:type="dxa" w:w="100"/>
            </w:tcMar>
          </w:tcPr>
          <w:p>
            <w:pPr>
              <w:spacing w:before="0" w:after="0"/>
            </w:pPr>
            <w:r>
              <w:rPr>
                <w:b w:val="false"/>
                <w:bCs w:val="false"/>
                <w:color w:val="0A7A52"/>
                <w:sz w:val="19"/>
                <w:szCs w:val="19"/>
              </w:rPr>
              <w:t xml:space="preserve">[Yes / No]</w:t>
            </w:r>
          </w:p>
        </w:tc>
        <w:tc>
          <w:tcPr>
            <w:tcW w:type="dxa" w:w="3143"/>
            <w:tcMar>
              <w:top w:type="dxa" w:w="70"/>
              <w:left w:type="dxa" w:w="100"/>
              <w:bottom w:type="dxa" w:w="70"/>
              <w:right w:type="dxa" w:w="100"/>
            </w:tcMar>
          </w:tcPr>
          <w:p>
            <w:pPr>
              <w:spacing w:before="0" w:after="0"/>
            </w:pPr>
            <w:r>
              <w:rPr>
                <w:b w:val="false"/>
                <w:bCs w:val="false"/>
                <w:color w:val="0A7A52"/>
                <w:sz w:val="19"/>
                <w:szCs w:val="19"/>
              </w:rPr>
              <w:t xml:space="preserve">[ ]</w:t>
            </w:r>
          </w:p>
        </w:tc>
      </w:tr>
      <w:tr>
        <w:trPr>
          <w:cantSplit/>
        </w:trPr>
        <w:tc>
          <w:tcPr>
            <w:tcW w:type="dxa" w:w="5238"/>
            <w:tcMar>
              <w:top w:type="dxa" w:w="70"/>
              <w:left w:type="dxa" w:w="100"/>
              <w:bottom w:type="dxa" w:w="70"/>
              <w:right w:type="dxa" w:w="100"/>
            </w:tcMar>
          </w:tcPr>
          <w:p>
            <w:pPr>
              <w:spacing w:before="0" w:after="0"/>
            </w:pPr>
            <w:r>
              <w:rPr>
                <w:b w:val="false"/>
                <w:bCs w:val="false"/>
                <w:sz w:val="19"/>
                <w:szCs w:val="19"/>
              </w:rPr>
              <w:t xml:space="preserve">Is there any other factor that by its nature presents a higher risk?</w:t>
            </w:r>
          </w:p>
        </w:tc>
        <w:tc>
          <w:tcPr>
            <w:tcW w:type="dxa" w:w="1257"/>
            <w:tcMar>
              <w:top w:type="dxa" w:w="70"/>
              <w:left w:type="dxa" w:w="100"/>
              <w:bottom w:type="dxa" w:w="70"/>
              <w:right w:type="dxa" w:w="100"/>
            </w:tcMar>
          </w:tcPr>
          <w:p>
            <w:pPr>
              <w:spacing w:before="0" w:after="0"/>
            </w:pPr>
            <w:r>
              <w:rPr>
                <w:b w:val="false"/>
                <w:bCs w:val="false"/>
                <w:color w:val="0A7A52"/>
                <w:sz w:val="19"/>
                <w:szCs w:val="19"/>
              </w:rPr>
              <w:t xml:space="preserve">[Yes / No]</w:t>
            </w:r>
          </w:p>
        </w:tc>
        <w:tc>
          <w:tcPr>
            <w:tcW w:type="dxa" w:w="3143"/>
            <w:tcMar>
              <w:top w:type="dxa" w:w="70"/>
              <w:left w:type="dxa" w:w="100"/>
              <w:bottom w:type="dxa" w:w="70"/>
              <w:right w:type="dxa" w:w="100"/>
            </w:tcMar>
          </w:tcPr>
          <w:p>
            <w:pPr>
              <w:spacing w:before="0" w:after="0"/>
            </w:pPr>
            <w:r>
              <w:rPr>
                <w:b w:val="false"/>
                <w:bCs w:val="false"/>
                <w:color w:val="0A7A52"/>
                <w:sz w:val="19"/>
                <w:szCs w:val="19"/>
              </w:rPr>
              <w:t xml:space="preserve">[ ]</w:t>
            </w:r>
          </w:p>
        </w:tc>
      </w:tr>
    </w:tbl>
    <w:p>
      <w:pPr>
        <w:spacing w:before="0" w:after="0"/>
      </w:pPr>
    </w:p>
    <w:tbl>
      <w:tblPr>
        <w:tblW w:type="dxa" w:w="9638"/>
        <w:tblBorders>
          <w:top w:val="none" w:color="FFFFFF" w:sz="0"/>
          <w:left w:val="single" w:color="0A7A52" w:sz="24"/>
          <w:bottom w:val="none" w:color="FFFFFF" w:sz="0"/>
          <w:right w:val="none" w:color="FFFFFF" w:sz="0"/>
          <w:insideH w:val="none" w:color="FFFFFF" w:sz="0"/>
          <w:insideV w:val="none" w:color="FFFFFF" w:sz="0"/>
        </w:tblBorders>
      </w:tblPr>
      <w:tblGrid>
        <w:gridCol w:w="9638"/>
      </w:tblGrid>
      <w:tr>
        <w:tc>
          <w:tcPr>
            <w:tcW w:type="dxa" w:w="9638"/>
            <w:shd w:fill="EEF6F2" w:color="auto" w:val="clear"/>
            <w:tcMar>
              <w:top w:type="dxa" w:w="110"/>
              <w:left w:type="dxa" w:w="180"/>
              <w:bottom w:type="dxa" w:w="110"/>
              <w:right w:type="dxa" w:w="160"/>
            </w:tcMar>
          </w:tcPr>
          <w:p>
            <w:pPr>
              <w:spacing w:before="0" w:after="0"/>
            </w:pPr>
            <w:r>
              <w:rPr>
                <w:b/>
                <w:bCs/>
                <w:color w:val="0E3B2C"/>
                <w:sz w:val="19"/>
                <w:szCs w:val="19"/>
              </w:rPr>
              <w:t xml:space="preserve">Guidance note: </w:t>
            </w:r>
            <w:r>
              <w:rPr>
                <w:sz w:val="19"/>
                <w:szCs w:val="19"/>
              </w:rPr>
              <w:t xml:space="preserve">Since 30 June 2026 (SI 2026/621) the country trigger is limited to FATF call for action countries, and the complexity trigger to transactions that are unusually complex or unusually large. A link to a FATF increased-monitoring (“grey list”) country no longer triggers EDD automatically, but you should still score it in section 3 and it may make the overall risk high. The person is “established” in a country if an individual is resident there, or a business is incorporated, has its principal place of business, or is regulated as a financial institution there (HMRC AMLG11640).</w:t>
            </w:r>
          </w:p>
        </w:tc>
      </w:tr>
    </w:tbl>
    <w:p>
      <w:pPr>
        <w:spacing w:before="0" w:after="0"/>
      </w:pPr>
    </w:p>
    <w:p>
      <w:pPr>
        <w:pStyle w:val="Heading1"/>
      </w:pPr>
      <w:r>
        <w:t xml:space="preserve">3. Risk factors (regulation 33(6))</w:t>
      </w:r>
    </w:p>
    <w:p>
      <w:pPr>
        <w:spacing w:after="120"/>
      </w:pPr>
      <w:r>
        <w:t xml:space="preserve">Rate each factor Low, Medium or High and explain. The presence of one factor does not automatically make the client high risk (regulation 33(7)), but record why.</w:t>
      </w:r>
    </w:p>
    <w:p>
      <w:pPr>
        <w:pStyle w:val="Heading2"/>
      </w:pPr>
      <w:r>
        <w:t xml:space="preserve">Customer</w:t>
      </w:r>
    </w:p>
    <w:tbl>
      <w:tblPr>
        <w:tblW w:type="dxa" w:w="9638"/>
        <w:tblBorders>
          <w:top w:val="single" w:color="C9D1CD" w:sz="4"/>
          <w:left w:val="single" w:color="C9D1CD" w:sz="4"/>
          <w:bottom w:val="single" w:color="C9D1CD" w:sz="4"/>
          <w:right w:val="single" w:color="C9D1CD" w:sz="4"/>
          <w:insideH w:val="single" w:color="C9D1CD" w:sz="4"/>
          <w:insideV w:val="single" w:color="C9D1CD" w:sz="4"/>
        </w:tblBorders>
      </w:tblPr>
      <w:tblGrid>
        <w:gridCol w:w="5238"/>
        <w:gridCol w:w="1257"/>
        <w:gridCol w:w="3143"/>
      </w:tblGrid>
      <w:tr>
        <w:trPr>
          <w:cantSplit/>
          <w:tblHeader/>
        </w:trPr>
        <w:tc>
          <w:tcPr>
            <w:tcW w:type="dxa" w:w="5238"/>
            <w:shd w:fill="0E3B2C" w:color="auto" w:val="clear"/>
            <w:tcMar>
              <w:top w:type="dxa" w:w="70"/>
              <w:left w:type="dxa" w:w="100"/>
              <w:bottom w:type="dxa" w:w="70"/>
              <w:right w:type="dxa" w:w="100"/>
            </w:tcMar>
          </w:tcPr>
          <w:p>
            <w:pPr>
              <w:spacing w:before="0" w:after="0"/>
            </w:pPr>
            <w:r>
              <w:rPr>
                <w:b/>
                <w:bCs/>
                <w:color w:val="FFFFFF"/>
                <w:sz w:val="19"/>
                <w:szCs w:val="19"/>
              </w:rPr>
              <w:t xml:space="preserve">Factor</w:t>
            </w:r>
          </w:p>
        </w:tc>
        <w:tc>
          <w:tcPr>
            <w:tcW w:type="dxa" w:w="1257"/>
            <w:shd w:fill="0E3B2C" w:color="auto" w:val="clear"/>
            <w:tcMar>
              <w:top w:type="dxa" w:w="70"/>
              <w:left w:type="dxa" w:w="100"/>
              <w:bottom w:type="dxa" w:w="70"/>
              <w:right w:type="dxa" w:w="100"/>
            </w:tcMar>
          </w:tcPr>
          <w:p>
            <w:pPr>
              <w:spacing w:before="0" w:after="0"/>
            </w:pPr>
            <w:r>
              <w:rPr>
                <w:b/>
                <w:bCs/>
                <w:color w:val="FFFFFF"/>
                <w:sz w:val="19"/>
                <w:szCs w:val="19"/>
              </w:rPr>
              <w:t xml:space="preserve">Rating</w:t>
            </w:r>
          </w:p>
        </w:tc>
        <w:tc>
          <w:tcPr>
            <w:tcW w:type="dxa" w:w="3143"/>
            <w:shd w:fill="0E3B2C" w:color="auto" w:val="clear"/>
            <w:tcMar>
              <w:top w:type="dxa" w:w="70"/>
              <w:left w:type="dxa" w:w="100"/>
              <w:bottom w:type="dxa" w:w="70"/>
              <w:right w:type="dxa" w:w="100"/>
            </w:tcMar>
          </w:tcPr>
          <w:p>
            <w:pPr>
              <w:spacing w:before="0" w:after="0"/>
            </w:pPr>
            <w:r>
              <w:rPr>
                <w:b/>
                <w:bCs/>
                <w:color w:val="FFFFFF"/>
                <w:sz w:val="19"/>
                <w:szCs w:val="19"/>
              </w:rPr>
              <w:t xml:space="preserve">Explanation</w:t>
            </w:r>
          </w:p>
        </w:tc>
      </w:tr>
      <w:tr>
        <w:trPr>
          <w:cantSplit/>
        </w:trPr>
        <w:tc>
          <w:tcPr>
            <w:tcW w:type="dxa" w:w="5238"/>
            <w:tcMar>
              <w:top w:type="dxa" w:w="70"/>
              <w:left w:type="dxa" w:w="100"/>
              <w:bottom w:type="dxa" w:w="70"/>
              <w:right w:type="dxa" w:w="100"/>
            </w:tcMar>
          </w:tcPr>
          <w:p>
            <w:pPr>
              <w:spacing w:before="0" w:after="0"/>
            </w:pPr>
            <w:r>
              <w:rPr>
                <w:b w:val="false"/>
                <w:bCs w:val="false"/>
                <w:sz w:val="19"/>
                <w:szCs w:val="19"/>
              </w:rPr>
              <w:t xml:space="preserve">Identity verified easily and consistently; client is open and cooperative</w:t>
            </w:r>
          </w:p>
        </w:tc>
        <w:tc>
          <w:tcPr>
            <w:tcW w:type="dxa" w:w="1257"/>
            <w:tcMar>
              <w:top w:type="dxa" w:w="70"/>
              <w:left w:type="dxa" w:w="100"/>
              <w:bottom w:type="dxa" w:w="70"/>
              <w:right w:type="dxa" w:w="100"/>
            </w:tcMar>
          </w:tcPr>
          <w:p>
            <w:pPr>
              <w:spacing w:before="0" w:after="0"/>
            </w:pPr>
            <w:r>
              <w:rPr>
                <w:b w:val="false"/>
                <w:bCs w:val="false"/>
                <w:color w:val="0A7A52"/>
                <w:sz w:val="19"/>
                <w:szCs w:val="19"/>
              </w:rPr>
              <w:t xml:space="preserve">[L / M / H]</w:t>
            </w:r>
          </w:p>
        </w:tc>
        <w:tc>
          <w:tcPr>
            <w:tcW w:type="dxa" w:w="3143"/>
            <w:tcMar>
              <w:top w:type="dxa" w:w="70"/>
              <w:left w:type="dxa" w:w="100"/>
              <w:bottom w:type="dxa" w:w="70"/>
              <w:right w:type="dxa" w:w="100"/>
            </w:tcMar>
          </w:tcPr>
          <w:p>
            <w:pPr>
              <w:spacing w:before="0" w:after="0"/>
            </w:pPr>
            <w:r>
              <w:rPr>
                <w:b w:val="false"/>
                <w:bCs w:val="false"/>
                <w:color w:val="0A7A52"/>
                <w:sz w:val="19"/>
                <w:szCs w:val="19"/>
              </w:rPr>
              <w:t xml:space="preserve">[ ]</w:t>
            </w:r>
          </w:p>
        </w:tc>
      </w:tr>
      <w:tr>
        <w:trPr>
          <w:cantSplit/>
        </w:trPr>
        <w:tc>
          <w:tcPr>
            <w:tcW w:type="dxa" w:w="5238"/>
            <w:tcMar>
              <w:top w:type="dxa" w:w="70"/>
              <w:left w:type="dxa" w:w="100"/>
              <w:bottom w:type="dxa" w:w="70"/>
              <w:right w:type="dxa" w:w="100"/>
            </w:tcMar>
          </w:tcPr>
          <w:p>
            <w:pPr>
              <w:spacing w:before="0" w:after="0"/>
            </w:pPr>
            <w:r>
              <w:rPr>
                <w:b w:val="false"/>
                <w:bCs w:val="false"/>
                <w:sz w:val="19"/>
                <w:szCs w:val="19"/>
              </w:rPr>
              <w:t xml:space="preserve">Ownership and control structure is clear (nominee shareholders, bearer shares or unexplained layers are higher risk)</w:t>
            </w:r>
          </w:p>
        </w:tc>
        <w:tc>
          <w:tcPr>
            <w:tcW w:type="dxa" w:w="1257"/>
            <w:tcMar>
              <w:top w:type="dxa" w:w="70"/>
              <w:left w:type="dxa" w:w="100"/>
              <w:bottom w:type="dxa" w:w="70"/>
              <w:right w:type="dxa" w:w="100"/>
            </w:tcMar>
          </w:tcPr>
          <w:p>
            <w:pPr>
              <w:spacing w:before="0" w:after="0"/>
            </w:pPr>
            <w:r>
              <w:rPr>
                <w:b w:val="false"/>
                <w:bCs w:val="false"/>
                <w:color w:val="0A7A52"/>
                <w:sz w:val="19"/>
                <w:szCs w:val="19"/>
              </w:rPr>
              <w:t xml:space="preserve">[L / M / H]</w:t>
            </w:r>
          </w:p>
        </w:tc>
        <w:tc>
          <w:tcPr>
            <w:tcW w:type="dxa" w:w="3143"/>
            <w:tcMar>
              <w:top w:type="dxa" w:w="70"/>
              <w:left w:type="dxa" w:w="100"/>
              <w:bottom w:type="dxa" w:w="70"/>
              <w:right w:type="dxa" w:w="100"/>
            </w:tcMar>
          </w:tcPr>
          <w:p>
            <w:pPr>
              <w:spacing w:before="0" w:after="0"/>
            </w:pPr>
            <w:r>
              <w:rPr>
                <w:b w:val="false"/>
                <w:bCs w:val="false"/>
                <w:color w:val="0A7A52"/>
                <w:sz w:val="19"/>
                <w:szCs w:val="19"/>
              </w:rPr>
              <w:t xml:space="preserve">[ ]</w:t>
            </w:r>
          </w:p>
        </w:tc>
      </w:tr>
      <w:tr>
        <w:trPr>
          <w:cantSplit/>
        </w:trPr>
        <w:tc>
          <w:tcPr>
            <w:tcW w:type="dxa" w:w="5238"/>
            <w:tcMar>
              <w:top w:type="dxa" w:w="70"/>
              <w:left w:type="dxa" w:w="100"/>
              <w:bottom w:type="dxa" w:w="70"/>
              <w:right w:type="dxa" w:w="100"/>
            </w:tcMar>
          </w:tcPr>
          <w:p>
            <w:pPr>
              <w:spacing w:before="0" w:after="0"/>
            </w:pPr>
            <w:r>
              <w:rPr>
                <w:b w:val="false"/>
                <w:bCs w:val="false"/>
                <w:sz w:val="19"/>
                <w:szCs w:val="19"/>
              </w:rPr>
              <w:t xml:space="preserve">Client’s profile matches the transaction or service (income, business, age, experience)</w:t>
            </w:r>
          </w:p>
        </w:tc>
        <w:tc>
          <w:tcPr>
            <w:tcW w:type="dxa" w:w="1257"/>
            <w:tcMar>
              <w:top w:type="dxa" w:w="70"/>
              <w:left w:type="dxa" w:w="100"/>
              <w:bottom w:type="dxa" w:w="70"/>
              <w:right w:type="dxa" w:w="100"/>
            </w:tcMar>
          </w:tcPr>
          <w:p>
            <w:pPr>
              <w:spacing w:before="0" w:after="0"/>
            </w:pPr>
            <w:r>
              <w:rPr>
                <w:b w:val="false"/>
                <w:bCs w:val="false"/>
                <w:color w:val="0A7A52"/>
                <w:sz w:val="19"/>
                <w:szCs w:val="19"/>
              </w:rPr>
              <w:t xml:space="preserve">[L / M / H]</w:t>
            </w:r>
          </w:p>
        </w:tc>
        <w:tc>
          <w:tcPr>
            <w:tcW w:type="dxa" w:w="3143"/>
            <w:tcMar>
              <w:top w:type="dxa" w:w="70"/>
              <w:left w:type="dxa" w:w="100"/>
              <w:bottom w:type="dxa" w:w="70"/>
              <w:right w:type="dxa" w:w="100"/>
            </w:tcMar>
          </w:tcPr>
          <w:p>
            <w:pPr>
              <w:spacing w:before="0" w:after="0"/>
            </w:pPr>
            <w:r>
              <w:rPr>
                <w:b w:val="false"/>
                <w:bCs w:val="false"/>
                <w:color w:val="0A7A52"/>
                <w:sz w:val="19"/>
                <w:szCs w:val="19"/>
              </w:rPr>
              <w:t xml:space="preserve">[ ]</w:t>
            </w:r>
          </w:p>
        </w:tc>
      </w:tr>
      <w:tr>
        <w:trPr>
          <w:cantSplit/>
        </w:trPr>
        <w:tc>
          <w:tcPr>
            <w:tcW w:type="dxa" w:w="5238"/>
            <w:tcMar>
              <w:top w:type="dxa" w:w="70"/>
              <w:left w:type="dxa" w:w="100"/>
              <w:bottom w:type="dxa" w:w="70"/>
              <w:right w:type="dxa" w:w="100"/>
            </w:tcMar>
          </w:tcPr>
          <w:p>
            <w:pPr>
              <w:spacing w:before="0" w:after="0"/>
            </w:pPr>
            <w:r>
              <w:rPr>
                <w:b w:val="false"/>
                <w:bCs w:val="false"/>
                <w:sz w:val="19"/>
                <w:szCs w:val="19"/>
              </w:rPr>
              <w:t xml:space="preserve">Cash-intensive or higher-risk business sector</w:t>
            </w:r>
          </w:p>
        </w:tc>
        <w:tc>
          <w:tcPr>
            <w:tcW w:type="dxa" w:w="1257"/>
            <w:tcMar>
              <w:top w:type="dxa" w:w="70"/>
              <w:left w:type="dxa" w:w="100"/>
              <w:bottom w:type="dxa" w:w="70"/>
              <w:right w:type="dxa" w:w="100"/>
            </w:tcMar>
          </w:tcPr>
          <w:p>
            <w:pPr>
              <w:spacing w:before="0" w:after="0"/>
            </w:pPr>
            <w:r>
              <w:rPr>
                <w:b w:val="false"/>
                <w:bCs w:val="false"/>
                <w:color w:val="0A7A52"/>
                <w:sz w:val="19"/>
                <w:szCs w:val="19"/>
              </w:rPr>
              <w:t xml:space="preserve">[L / M / H]</w:t>
            </w:r>
          </w:p>
        </w:tc>
        <w:tc>
          <w:tcPr>
            <w:tcW w:type="dxa" w:w="3143"/>
            <w:tcMar>
              <w:top w:type="dxa" w:w="70"/>
              <w:left w:type="dxa" w:w="100"/>
              <w:bottom w:type="dxa" w:w="70"/>
              <w:right w:type="dxa" w:w="100"/>
            </w:tcMar>
          </w:tcPr>
          <w:p>
            <w:pPr>
              <w:spacing w:before="0" w:after="0"/>
            </w:pPr>
            <w:r>
              <w:rPr>
                <w:b w:val="false"/>
                <w:bCs w:val="false"/>
                <w:color w:val="0A7A52"/>
                <w:sz w:val="19"/>
                <w:szCs w:val="19"/>
              </w:rPr>
              <w:t xml:space="preserve">[ ]</w:t>
            </w:r>
          </w:p>
        </w:tc>
      </w:tr>
      <w:tr>
        <w:trPr>
          <w:cantSplit/>
        </w:trPr>
        <w:tc>
          <w:tcPr>
            <w:tcW w:type="dxa" w:w="5238"/>
            <w:tcMar>
              <w:top w:type="dxa" w:w="70"/>
              <w:left w:type="dxa" w:w="100"/>
              <w:bottom w:type="dxa" w:w="70"/>
              <w:right w:type="dxa" w:w="100"/>
            </w:tcMar>
          </w:tcPr>
          <w:p>
            <w:pPr>
              <w:spacing w:before="0" w:after="0"/>
            </w:pPr>
            <w:r>
              <w:rPr>
                <w:b w:val="false"/>
                <w:bCs w:val="false"/>
                <w:sz w:val="19"/>
                <w:szCs w:val="19"/>
              </w:rPr>
              <w:t xml:space="preserve">Adverse media, sanctions or other screening results</w:t>
            </w:r>
          </w:p>
        </w:tc>
        <w:tc>
          <w:tcPr>
            <w:tcW w:type="dxa" w:w="1257"/>
            <w:tcMar>
              <w:top w:type="dxa" w:w="70"/>
              <w:left w:type="dxa" w:w="100"/>
              <w:bottom w:type="dxa" w:w="70"/>
              <w:right w:type="dxa" w:w="100"/>
            </w:tcMar>
          </w:tcPr>
          <w:p>
            <w:pPr>
              <w:spacing w:before="0" w:after="0"/>
            </w:pPr>
            <w:r>
              <w:rPr>
                <w:b w:val="false"/>
                <w:bCs w:val="false"/>
                <w:color w:val="0A7A52"/>
                <w:sz w:val="19"/>
                <w:szCs w:val="19"/>
              </w:rPr>
              <w:t xml:space="preserve">[L / M / H]</w:t>
            </w:r>
          </w:p>
        </w:tc>
        <w:tc>
          <w:tcPr>
            <w:tcW w:type="dxa" w:w="3143"/>
            <w:tcMar>
              <w:top w:type="dxa" w:w="70"/>
              <w:left w:type="dxa" w:w="100"/>
              <w:bottom w:type="dxa" w:w="70"/>
              <w:right w:type="dxa" w:w="100"/>
            </w:tcMar>
          </w:tcPr>
          <w:p>
            <w:pPr>
              <w:spacing w:before="0" w:after="0"/>
            </w:pPr>
            <w:r>
              <w:rPr>
                <w:b w:val="false"/>
                <w:bCs w:val="false"/>
                <w:color w:val="0A7A52"/>
                <w:sz w:val="19"/>
                <w:szCs w:val="19"/>
              </w:rPr>
              <w:t xml:space="preserve">[ ]</w:t>
            </w:r>
          </w:p>
        </w:tc>
      </w:tr>
      <w:tr>
        <w:trPr>
          <w:cantSplit/>
        </w:trPr>
        <w:tc>
          <w:tcPr>
            <w:tcW w:type="dxa" w:w="5238"/>
            <w:tcMar>
              <w:top w:type="dxa" w:w="70"/>
              <w:left w:type="dxa" w:w="100"/>
              <w:bottom w:type="dxa" w:w="70"/>
              <w:right w:type="dxa" w:w="100"/>
            </w:tcMar>
          </w:tcPr>
          <w:p>
            <w:pPr>
              <w:spacing w:before="0" w:after="0"/>
            </w:pPr>
            <w:r>
              <w:rPr>
                <w:b w:val="false"/>
                <w:bCs w:val="false"/>
                <w:sz w:val="19"/>
                <w:szCs w:val="19"/>
              </w:rPr>
              <w:t xml:space="preserve">Client is a trust, special purpose vehicle or personal asset-holding vehicle</w:t>
            </w:r>
          </w:p>
        </w:tc>
        <w:tc>
          <w:tcPr>
            <w:tcW w:type="dxa" w:w="1257"/>
            <w:tcMar>
              <w:top w:type="dxa" w:w="70"/>
              <w:left w:type="dxa" w:w="100"/>
              <w:bottom w:type="dxa" w:w="70"/>
              <w:right w:type="dxa" w:w="100"/>
            </w:tcMar>
          </w:tcPr>
          <w:p>
            <w:pPr>
              <w:spacing w:before="0" w:after="0"/>
            </w:pPr>
            <w:r>
              <w:rPr>
                <w:b w:val="false"/>
                <w:bCs w:val="false"/>
                <w:color w:val="0A7A52"/>
                <w:sz w:val="19"/>
                <w:szCs w:val="19"/>
              </w:rPr>
              <w:t xml:space="preserve">[L / M / H]</w:t>
            </w:r>
          </w:p>
        </w:tc>
        <w:tc>
          <w:tcPr>
            <w:tcW w:type="dxa" w:w="3143"/>
            <w:tcMar>
              <w:top w:type="dxa" w:w="70"/>
              <w:left w:type="dxa" w:w="100"/>
              <w:bottom w:type="dxa" w:w="70"/>
              <w:right w:type="dxa" w:w="100"/>
            </w:tcMar>
          </w:tcPr>
          <w:p>
            <w:pPr>
              <w:spacing w:before="0" w:after="0"/>
            </w:pPr>
            <w:r>
              <w:rPr>
                <w:b w:val="false"/>
                <w:bCs w:val="false"/>
                <w:color w:val="0A7A52"/>
                <w:sz w:val="19"/>
                <w:szCs w:val="19"/>
              </w:rPr>
              <w:t xml:space="preserve">[ ]</w:t>
            </w:r>
          </w:p>
        </w:tc>
      </w:tr>
    </w:tbl>
    <w:p>
      <w:pPr>
        <w:spacing w:before="0" w:after="0"/>
      </w:pPr>
    </w:p>
    <w:p>
      <w:pPr>
        <w:pStyle w:val="Heading2"/>
      </w:pPr>
      <w:r>
        <w:t xml:space="preserve">Geography</w:t>
      </w:r>
    </w:p>
    <w:tbl>
      <w:tblPr>
        <w:tblW w:type="dxa" w:w="9638"/>
        <w:tblBorders>
          <w:top w:val="single" w:color="C9D1CD" w:sz="4"/>
          <w:left w:val="single" w:color="C9D1CD" w:sz="4"/>
          <w:bottom w:val="single" w:color="C9D1CD" w:sz="4"/>
          <w:right w:val="single" w:color="C9D1CD" w:sz="4"/>
          <w:insideH w:val="single" w:color="C9D1CD" w:sz="4"/>
          <w:insideV w:val="single" w:color="C9D1CD" w:sz="4"/>
        </w:tblBorders>
      </w:tblPr>
      <w:tblGrid>
        <w:gridCol w:w="5238"/>
        <w:gridCol w:w="1257"/>
        <w:gridCol w:w="3143"/>
      </w:tblGrid>
      <w:tr>
        <w:trPr>
          <w:cantSplit/>
          <w:tblHeader/>
        </w:trPr>
        <w:tc>
          <w:tcPr>
            <w:tcW w:type="dxa" w:w="5238"/>
            <w:shd w:fill="0E3B2C" w:color="auto" w:val="clear"/>
            <w:tcMar>
              <w:top w:type="dxa" w:w="70"/>
              <w:left w:type="dxa" w:w="100"/>
              <w:bottom w:type="dxa" w:w="70"/>
              <w:right w:type="dxa" w:w="100"/>
            </w:tcMar>
          </w:tcPr>
          <w:p>
            <w:pPr>
              <w:spacing w:before="0" w:after="0"/>
            </w:pPr>
            <w:r>
              <w:rPr>
                <w:b/>
                <w:bCs/>
                <w:color w:val="FFFFFF"/>
                <w:sz w:val="19"/>
                <w:szCs w:val="19"/>
              </w:rPr>
              <w:t xml:space="preserve">Factor</w:t>
            </w:r>
          </w:p>
        </w:tc>
        <w:tc>
          <w:tcPr>
            <w:tcW w:type="dxa" w:w="1257"/>
            <w:shd w:fill="0E3B2C" w:color="auto" w:val="clear"/>
            <w:tcMar>
              <w:top w:type="dxa" w:w="70"/>
              <w:left w:type="dxa" w:w="100"/>
              <w:bottom w:type="dxa" w:w="70"/>
              <w:right w:type="dxa" w:w="100"/>
            </w:tcMar>
          </w:tcPr>
          <w:p>
            <w:pPr>
              <w:spacing w:before="0" w:after="0"/>
            </w:pPr>
            <w:r>
              <w:rPr>
                <w:b/>
                <w:bCs/>
                <w:color w:val="FFFFFF"/>
                <w:sz w:val="19"/>
                <w:szCs w:val="19"/>
              </w:rPr>
              <w:t xml:space="preserve">Rating</w:t>
            </w:r>
          </w:p>
        </w:tc>
        <w:tc>
          <w:tcPr>
            <w:tcW w:type="dxa" w:w="3143"/>
            <w:shd w:fill="0E3B2C" w:color="auto" w:val="clear"/>
            <w:tcMar>
              <w:top w:type="dxa" w:w="70"/>
              <w:left w:type="dxa" w:w="100"/>
              <w:bottom w:type="dxa" w:w="70"/>
              <w:right w:type="dxa" w:w="100"/>
            </w:tcMar>
          </w:tcPr>
          <w:p>
            <w:pPr>
              <w:spacing w:before="0" w:after="0"/>
            </w:pPr>
            <w:r>
              <w:rPr>
                <w:b/>
                <w:bCs/>
                <w:color w:val="FFFFFF"/>
                <w:sz w:val="19"/>
                <w:szCs w:val="19"/>
              </w:rPr>
              <w:t xml:space="preserve">Explanation</w:t>
            </w:r>
          </w:p>
        </w:tc>
      </w:tr>
      <w:tr>
        <w:trPr>
          <w:cantSplit/>
        </w:trPr>
        <w:tc>
          <w:tcPr>
            <w:tcW w:type="dxa" w:w="5238"/>
            <w:tcMar>
              <w:top w:type="dxa" w:w="70"/>
              <w:left w:type="dxa" w:w="100"/>
              <w:bottom w:type="dxa" w:w="70"/>
              <w:right w:type="dxa" w:w="100"/>
            </w:tcMar>
          </w:tcPr>
          <w:p>
            <w:pPr>
              <w:spacing w:before="0" w:after="0"/>
            </w:pPr>
            <w:r>
              <w:rPr>
                <w:b w:val="false"/>
                <w:bCs w:val="false"/>
                <w:sz w:val="19"/>
                <w:szCs w:val="19"/>
              </w:rPr>
              <w:t xml:space="preserve">Country of residence, incorporation and operations</w:t>
            </w:r>
          </w:p>
        </w:tc>
        <w:tc>
          <w:tcPr>
            <w:tcW w:type="dxa" w:w="1257"/>
            <w:tcMar>
              <w:top w:type="dxa" w:w="70"/>
              <w:left w:type="dxa" w:w="100"/>
              <w:bottom w:type="dxa" w:w="70"/>
              <w:right w:type="dxa" w:w="100"/>
            </w:tcMar>
          </w:tcPr>
          <w:p>
            <w:pPr>
              <w:spacing w:before="0" w:after="0"/>
            </w:pPr>
            <w:r>
              <w:rPr>
                <w:b w:val="false"/>
                <w:bCs w:val="false"/>
                <w:color w:val="0A7A52"/>
                <w:sz w:val="19"/>
                <w:szCs w:val="19"/>
              </w:rPr>
              <w:t xml:space="preserve">[L / M / H]</w:t>
            </w:r>
          </w:p>
        </w:tc>
        <w:tc>
          <w:tcPr>
            <w:tcW w:type="dxa" w:w="3143"/>
            <w:tcMar>
              <w:top w:type="dxa" w:w="70"/>
              <w:left w:type="dxa" w:w="100"/>
              <w:bottom w:type="dxa" w:w="70"/>
              <w:right w:type="dxa" w:w="100"/>
            </w:tcMar>
          </w:tcPr>
          <w:p>
            <w:pPr>
              <w:spacing w:before="0" w:after="0"/>
            </w:pPr>
            <w:r>
              <w:rPr>
                <w:b w:val="false"/>
                <w:bCs w:val="false"/>
                <w:color w:val="0A7A52"/>
                <w:sz w:val="19"/>
                <w:szCs w:val="19"/>
              </w:rPr>
              <w:t xml:space="preserve">[ ]</w:t>
            </w:r>
          </w:p>
        </w:tc>
      </w:tr>
      <w:tr>
        <w:trPr>
          <w:cantSplit/>
        </w:trPr>
        <w:tc>
          <w:tcPr>
            <w:tcW w:type="dxa" w:w="5238"/>
            <w:tcMar>
              <w:top w:type="dxa" w:w="70"/>
              <w:left w:type="dxa" w:w="100"/>
              <w:bottom w:type="dxa" w:w="70"/>
              <w:right w:type="dxa" w:w="100"/>
            </w:tcMar>
          </w:tcPr>
          <w:p>
            <w:pPr>
              <w:spacing w:before="0" w:after="0"/>
            </w:pPr>
            <w:r>
              <w:rPr>
                <w:b w:val="false"/>
                <w:bCs w:val="false"/>
                <w:sz w:val="19"/>
                <w:szCs w:val="19"/>
              </w:rPr>
              <w:t xml:space="preserve">Countries the funds come from or go to</w:t>
            </w:r>
          </w:p>
        </w:tc>
        <w:tc>
          <w:tcPr>
            <w:tcW w:type="dxa" w:w="1257"/>
            <w:tcMar>
              <w:top w:type="dxa" w:w="70"/>
              <w:left w:type="dxa" w:w="100"/>
              <w:bottom w:type="dxa" w:w="70"/>
              <w:right w:type="dxa" w:w="100"/>
            </w:tcMar>
          </w:tcPr>
          <w:p>
            <w:pPr>
              <w:spacing w:before="0" w:after="0"/>
            </w:pPr>
            <w:r>
              <w:rPr>
                <w:b w:val="false"/>
                <w:bCs w:val="false"/>
                <w:color w:val="0A7A52"/>
                <w:sz w:val="19"/>
                <w:szCs w:val="19"/>
              </w:rPr>
              <w:t xml:space="preserve">[L / M / H]</w:t>
            </w:r>
          </w:p>
        </w:tc>
        <w:tc>
          <w:tcPr>
            <w:tcW w:type="dxa" w:w="3143"/>
            <w:tcMar>
              <w:top w:type="dxa" w:w="70"/>
              <w:left w:type="dxa" w:w="100"/>
              <w:bottom w:type="dxa" w:w="70"/>
              <w:right w:type="dxa" w:w="100"/>
            </w:tcMar>
          </w:tcPr>
          <w:p>
            <w:pPr>
              <w:spacing w:before="0" w:after="0"/>
            </w:pPr>
            <w:r>
              <w:rPr>
                <w:b w:val="false"/>
                <w:bCs w:val="false"/>
                <w:color w:val="0A7A52"/>
                <w:sz w:val="19"/>
                <w:szCs w:val="19"/>
              </w:rPr>
              <w:t xml:space="preserve">[ ]</w:t>
            </w:r>
          </w:p>
        </w:tc>
      </w:tr>
      <w:tr>
        <w:trPr>
          <w:cantSplit/>
        </w:trPr>
        <w:tc>
          <w:tcPr>
            <w:tcW w:type="dxa" w:w="5238"/>
            <w:tcMar>
              <w:top w:type="dxa" w:w="70"/>
              <w:left w:type="dxa" w:w="100"/>
              <w:bottom w:type="dxa" w:w="70"/>
              <w:right w:type="dxa" w:w="100"/>
            </w:tcMar>
          </w:tcPr>
          <w:p>
            <w:pPr>
              <w:spacing w:before="0" w:after="0"/>
            </w:pPr>
            <w:r>
              <w:rPr>
                <w:b w:val="false"/>
                <w:bCs w:val="false"/>
                <w:sz w:val="19"/>
                <w:szCs w:val="19"/>
              </w:rPr>
              <w:t xml:space="preserve">Grey-list, high-corruption, secrecy or sanctioned jurisdictions; citizenship by investment</w:t>
            </w:r>
          </w:p>
        </w:tc>
        <w:tc>
          <w:tcPr>
            <w:tcW w:type="dxa" w:w="1257"/>
            <w:tcMar>
              <w:top w:type="dxa" w:w="70"/>
              <w:left w:type="dxa" w:w="100"/>
              <w:bottom w:type="dxa" w:w="70"/>
              <w:right w:type="dxa" w:w="100"/>
            </w:tcMar>
          </w:tcPr>
          <w:p>
            <w:pPr>
              <w:spacing w:before="0" w:after="0"/>
            </w:pPr>
            <w:r>
              <w:rPr>
                <w:b w:val="false"/>
                <w:bCs w:val="false"/>
                <w:color w:val="0A7A52"/>
                <w:sz w:val="19"/>
                <w:szCs w:val="19"/>
              </w:rPr>
              <w:t xml:space="preserve">[L / M / H]</w:t>
            </w:r>
          </w:p>
        </w:tc>
        <w:tc>
          <w:tcPr>
            <w:tcW w:type="dxa" w:w="3143"/>
            <w:tcMar>
              <w:top w:type="dxa" w:w="70"/>
              <w:left w:type="dxa" w:w="100"/>
              <w:bottom w:type="dxa" w:w="70"/>
              <w:right w:type="dxa" w:w="100"/>
            </w:tcMar>
          </w:tcPr>
          <w:p>
            <w:pPr>
              <w:spacing w:before="0" w:after="0"/>
            </w:pPr>
            <w:r>
              <w:rPr>
                <w:b w:val="false"/>
                <w:bCs w:val="false"/>
                <w:color w:val="0A7A52"/>
                <w:sz w:val="19"/>
                <w:szCs w:val="19"/>
              </w:rPr>
              <w:t xml:space="preserve">[ ]</w:t>
            </w:r>
          </w:p>
        </w:tc>
      </w:tr>
    </w:tbl>
    <w:p>
      <w:pPr>
        <w:spacing w:before="0" w:after="0"/>
      </w:pPr>
    </w:p>
    <w:p>
      <w:pPr>
        <w:pStyle w:val="Heading2"/>
      </w:pPr>
      <w:r>
        <w:t xml:space="preserve">Service, product and transaction</w:t>
      </w:r>
    </w:p>
    <w:tbl>
      <w:tblPr>
        <w:tblW w:type="dxa" w:w="9638"/>
        <w:tblBorders>
          <w:top w:val="single" w:color="C9D1CD" w:sz="4"/>
          <w:left w:val="single" w:color="C9D1CD" w:sz="4"/>
          <w:bottom w:val="single" w:color="C9D1CD" w:sz="4"/>
          <w:right w:val="single" w:color="C9D1CD" w:sz="4"/>
          <w:insideH w:val="single" w:color="C9D1CD" w:sz="4"/>
          <w:insideV w:val="single" w:color="C9D1CD" w:sz="4"/>
        </w:tblBorders>
      </w:tblPr>
      <w:tblGrid>
        <w:gridCol w:w="5238"/>
        <w:gridCol w:w="1257"/>
        <w:gridCol w:w="3143"/>
      </w:tblGrid>
      <w:tr>
        <w:trPr>
          <w:cantSplit/>
          <w:tblHeader/>
        </w:trPr>
        <w:tc>
          <w:tcPr>
            <w:tcW w:type="dxa" w:w="5238"/>
            <w:shd w:fill="0E3B2C" w:color="auto" w:val="clear"/>
            <w:tcMar>
              <w:top w:type="dxa" w:w="70"/>
              <w:left w:type="dxa" w:w="100"/>
              <w:bottom w:type="dxa" w:w="70"/>
              <w:right w:type="dxa" w:w="100"/>
            </w:tcMar>
          </w:tcPr>
          <w:p>
            <w:pPr>
              <w:spacing w:before="0" w:after="0"/>
            </w:pPr>
            <w:r>
              <w:rPr>
                <w:b/>
                <w:bCs/>
                <w:color w:val="FFFFFF"/>
                <w:sz w:val="19"/>
                <w:szCs w:val="19"/>
              </w:rPr>
              <w:t xml:space="preserve">Factor</w:t>
            </w:r>
          </w:p>
        </w:tc>
        <w:tc>
          <w:tcPr>
            <w:tcW w:type="dxa" w:w="1257"/>
            <w:shd w:fill="0E3B2C" w:color="auto" w:val="clear"/>
            <w:tcMar>
              <w:top w:type="dxa" w:w="70"/>
              <w:left w:type="dxa" w:w="100"/>
              <w:bottom w:type="dxa" w:w="70"/>
              <w:right w:type="dxa" w:w="100"/>
            </w:tcMar>
          </w:tcPr>
          <w:p>
            <w:pPr>
              <w:spacing w:before="0" w:after="0"/>
            </w:pPr>
            <w:r>
              <w:rPr>
                <w:b/>
                <w:bCs/>
                <w:color w:val="FFFFFF"/>
                <w:sz w:val="19"/>
                <w:szCs w:val="19"/>
              </w:rPr>
              <w:t xml:space="preserve">Rating</w:t>
            </w:r>
          </w:p>
        </w:tc>
        <w:tc>
          <w:tcPr>
            <w:tcW w:type="dxa" w:w="3143"/>
            <w:shd w:fill="0E3B2C" w:color="auto" w:val="clear"/>
            <w:tcMar>
              <w:top w:type="dxa" w:w="70"/>
              <w:left w:type="dxa" w:w="100"/>
              <w:bottom w:type="dxa" w:w="70"/>
              <w:right w:type="dxa" w:w="100"/>
            </w:tcMar>
          </w:tcPr>
          <w:p>
            <w:pPr>
              <w:spacing w:before="0" w:after="0"/>
            </w:pPr>
            <w:r>
              <w:rPr>
                <w:b/>
                <w:bCs/>
                <w:color w:val="FFFFFF"/>
                <w:sz w:val="19"/>
                <w:szCs w:val="19"/>
              </w:rPr>
              <w:t xml:space="preserve">Explanation</w:t>
            </w:r>
          </w:p>
        </w:tc>
      </w:tr>
      <w:tr>
        <w:trPr>
          <w:cantSplit/>
        </w:trPr>
        <w:tc>
          <w:tcPr>
            <w:tcW w:type="dxa" w:w="5238"/>
            <w:tcMar>
              <w:top w:type="dxa" w:w="70"/>
              <w:left w:type="dxa" w:w="100"/>
              <w:bottom w:type="dxa" w:w="70"/>
              <w:right w:type="dxa" w:w="100"/>
            </w:tcMar>
          </w:tcPr>
          <w:p>
            <w:pPr>
              <w:spacing w:before="0" w:after="0"/>
            </w:pPr>
            <w:r>
              <w:rPr>
                <w:b w:val="false"/>
                <w:bCs w:val="false"/>
                <w:sz w:val="19"/>
                <w:szCs w:val="19"/>
              </w:rPr>
              <w:t xml:space="preserve">Value of the transaction or turnover handled</w:t>
            </w:r>
          </w:p>
        </w:tc>
        <w:tc>
          <w:tcPr>
            <w:tcW w:type="dxa" w:w="1257"/>
            <w:tcMar>
              <w:top w:type="dxa" w:w="70"/>
              <w:left w:type="dxa" w:w="100"/>
              <w:bottom w:type="dxa" w:w="70"/>
              <w:right w:type="dxa" w:w="100"/>
            </w:tcMar>
          </w:tcPr>
          <w:p>
            <w:pPr>
              <w:spacing w:before="0" w:after="0"/>
            </w:pPr>
            <w:r>
              <w:rPr>
                <w:b w:val="false"/>
                <w:bCs w:val="false"/>
                <w:color w:val="0A7A52"/>
                <w:sz w:val="19"/>
                <w:szCs w:val="19"/>
              </w:rPr>
              <w:t xml:space="preserve">[L / M / H]</w:t>
            </w:r>
          </w:p>
        </w:tc>
        <w:tc>
          <w:tcPr>
            <w:tcW w:type="dxa" w:w="3143"/>
            <w:tcMar>
              <w:top w:type="dxa" w:w="70"/>
              <w:left w:type="dxa" w:w="100"/>
              <w:bottom w:type="dxa" w:w="70"/>
              <w:right w:type="dxa" w:w="100"/>
            </w:tcMar>
          </w:tcPr>
          <w:p>
            <w:pPr>
              <w:spacing w:before="0" w:after="0"/>
            </w:pPr>
            <w:r>
              <w:rPr>
                <w:b w:val="false"/>
                <w:bCs w:val="false"/>
                <w:color w:val="0A7A52"/>
                <w:sz w:val="19"/>
                <w:szCs w:val="19"/>
              </w:rPr>
              <w:t xml:space="preserve">[ ]</w:t>
            </w:r>
          </w:p>
        </w:tc>
      </w:tr>
      <w:tr>
        <w:trPr>
          <w:cantSplit/>
        </w:trPr>
        <w:tc>
          <w:tcPr>
            <w:tcW w:type="dxa" w:w="5238"/>
            <w:tcMar>
              <w:top w:type="dxa" w:w="70"/>
              <w:left w:type="dxa" w:w="100"/>
              <w:bottom w:type="dxa" w:w="70"/>
              <w:right w:type="dxa" w:w="100"/>
            </w:tcMar>
          </w:tcPr>
          <w:p>
            <w:pPr>
              <w:spacing w:before="0" w:after="0"/>
            </w:pPr>
            <w:r>
              <w:rPr>
                <w:b w:val="false"/>
                <w:bCs w:val="false"/>
                <w:sz w:val="19"/>
                <w:szCs w:val="19"/>
              </w:rPr>
              <w:t xml:space="preserve">Payment method (cash, cryptoassets, third-party payments, overseas transfers)</w:t>
            </w:r>
          </w:p>
        </w:tc>
        <w:tc>
          <w:tcPr>
            <w:tcW w:type="dxa" w:w="1257"/>
            <w:tcMar>
              <w:top w:type="dxa" w:w="70"/>
              <w:left w:type="dxa" w:w="100"/>
              <w:bottom w:type="dxa" w:w="70"/>
              <w:right w:type="dxa" w:w="100"/>
            </w:tcMar>
          </w:tcPr>
          <w:p>
            <w:pPr>
              <w:spacing w:before="0" w:after="0"/>
            </w:pPr>
            <w:r>
              <w:rPr>
                <w:b w:val="false"/>
                <w:bCs w:val="false"/>
                <w:color w:val="0A7A52"/>
                <w:sz w:val="19"/>
                <w:szCs w:val="19"/>
              </w:rPr>
              <w:t xml:space="preserve">[L / M / H]</w:t>
            </w:r>
          </w:p>
        </w:tc>
        <w:tc>
          <w:tcPr>
            <w:tcW w:type="dxa" w:w="3143"/>
            <w:tcMar>
              <w:top w:type="dxa" w:w="70"/>
              <w:left w:type="dxa" w:w="100"/>
              <w:bottom w:type="dxa" w:w="70"/>
              <w:right w:type="dxa" w:w="100"/>
            </w:tcMar>
          </w:tcPr>
          <w:p>
            <w:pPr>
              <w:spacing w:before="0" w:after="0"/>
            </w:pPr>
            <w:r>
              <w:rPr>
                <w:b w:val="false"/>
                <w:bCs w:val="false"/>
                <w:color w:val="0A7A52"/>
                <w:sz w:val="19"/>
                <w:szCs w:val="19"/>
              </w:rPr>
              <w:t xml:space="preserve">[ ]</w:t>
            </w:r>
          </w:p>
        </w:tc>
      </w:tr>
      <w:tr>
        <w:trPr>
          <w:cantSplit/>
        </w:trPr>
        <w:tc>
          <w:tcPr>
            <w:tcW w:type="dxa" w:w="5238"/>
            <w:tcMar>
              <w:top w:type="dxa" w:w="70"/>
              <w:left w:type="dxa" w:w="100"/>
              <w:bottom w:type="dxa" w:w="70"/>
              <w:right w:type="dxa" w:w="100"/>
            </w:tcMar>
          </w:tcPr>
          <w:p>
            <w:pPr>
              <w:spacing w:before="0" w:after="0"/>
            </w:pPr>
            <w:r>
              <w:rPr>
                <w:b w:val="false"/>
                <w:bCs w:val="false"/>
                <w:sz w:val="19"/>
                <w:szCs w:val="19"/>
              </w:rPr>
              <w:t xml:space="preserve">Speed, pricing or structure of the transaction compared with normal practice</w:t>
            </w:r>
          </w:p>
        </w:tc>
        <w:tc>
          <w:tcPr>
            <w:tcW w:type="dxa" w:w="1257"/>
            <w:tcMar>
              <w:top w:type="dxa" w:w="70"/>
              <w:left w:type="dxa" w:w="100"/>
              <w:bottom w:type="dxa" w:w="70"/>
              <w:right w:type="dxa" w:w="100"/>
            </w:tcMar>
          </w:tcPr>
          <w:p>
            <w:pPr>
              <w:spacing w:before="0" w:after="0"/>
            </w:pPr>
            <w:r>
              <w:rPr>
                <w:b w:val="false"/>
                <w:bCs w:val="false"/>
                <w:color w:val="0A7A52"/>
                <w:sz w:val="19"/>
                <w:szCs w:val="19"/>
              </w:rPr>
              <w:t xml:space="preserve">[L / M / H]</w:t>
            </w:r>
          </w:p>
        </w:tc>
        <w:tc>
          <w:tcPr>
            <w:tcW w:type="dxa" w:w="3143"/>
            <w:tcMar>
              <w:top w:type="dxa" w:w="70"/>
              <w:left w:type="dxa" w:w="100"/>
              <w:bottom w:type="dxa" w:w="70"/>
              <w:right w:type="dxa" w:w="100"/>
            </w:tcMar>
          </w:tcPr>
          <w:p>
            <w:pPr>
              <w:spacing w:before="0" w:after="0"/>
            </w:pPr>
            <w:r>
              <w:rPr>
                <w:b w:val="false"/>
                <w:bCs w:val="false"/>
                <w:color w:val="0A7A52"/>
                <w:sz w:val="19"/>
                <w:szCs w:val="19"/>
              </w:rPr>
              <w:t xml:space="preserve">[ ]</w:t>
            </w:r>
          </w:p>
        </w:tc>
      </w:tr>
      <w:tr>
        <w:trPr>
          <w:cantSplit/>
        </w:trPr>
        <w:tc>
          <w:tcPr>
            <w:tcW w:type="dxa" w:w="5238"/>
            <w:tcMar>
              <w:top w:type="dxa" w:w="70"/>
              <w:left w:type="dxa" w:w="100"/>
              <w:bottom w:type="dxa" w:w="70"/>
              <w:right w:type="dxa" w:w="100"/>
            </w:tcMar>
          </w:tcPr>
          <w:p>
            <w:pPr>
              <w:spacing w:before="0" w:after="0"/>
            </w:pPr>
            <w:r>
              <w:rPr>
                <w:b w:val="false"/>
                <w:bCs w:val="false"/>
                <w:sz w:val="19"/>
                <w:szCs w:val="19"/>
              </w:rPr>
              <w:t xml:space="preserve">Service that could hide ownership (company formation, nominee services, registered office)</w:t>
            </w:r>
          </w:p>
        </w:tc>
        <w:tc>
          <w:tcPr>
            <w:tcW w:type="dxa" w:w="1257"/>
            <w:tcMar>
              <w:top w:type="dxa" w:w="70"/>
              <w:left w:type="dxa" w:w="100"/>
              <w:bottom w:type="dxa" w:w="70"/>
              <w:right w:type="dxa" w:w="100"/>
            </w:tcMar>
          </w:tcPr>
          <w:p>
            <w:pPr>
              <w:spacing w:before="0" w:after="0"/>
            </w:pPr>
            <w:r>
              <w:rPr>
                <w:b w:val="false"/>
                <w:bCs w:val="false"/>
                <w:color w:val="0A7A52"/>
                <w:sz w:val="19"/>
                <w:szCs w:val="19"/>
              </w:rPr>
              <w:t xml:space="preserve">[L / M / H]</w:t>
            </w:r>
          </w:p>
        </w:tc>
        <w:tc>
          <w:tcPr>
            <w:tcW w:type="dxa" w:w="3143"/>
            <w:tcMar>
              <w:top w:type="dxa" w:w="70"/>
              <w:left w:type="dxa" w:w="100"/>
              <w:bottom w:type="dxa" w:w="70"/>
              <w:right w:type="dxa" w:w="100"/>
            </w:tcMar>
          </w:tcPr>
          <w:p>
            <w:pPr>
              <w:spacing w:before="0" w:after="0"/>
            </w:pPr>
            <w:r>
              <w:rPr>
                <w:b w:val="false"/>
                <w:bCs w:val="false"/>
                <w:color w:val="0A7A52"/>
                <w:sz w:val="19"/>
                <w:szCs w:val="19"/>
              </w:rPr>
              <w:t xml:space="preserve">[ ]</w:t>
            </w:r>
          </w:p>
        </w:tc>
      </w:tr>
    </w:tbl>
    <w:p>
      <w:pPr>
        <w:spacing w:before="0" w:after="0"/>
      </w:pPr>
    </w:p>
    <w:p>
      <w:pPr>
        <w:pStyle w:val="Heading2"/>
      </w:pPr>
      <w:r>
        <w:t xml:space="preserve">Delivery channel</w:t>
      </w:r>
    </w:p>
    <w:tbl>
      <w:tblPr>
        <w:tblW w:type="dxa" w:w="9638"/>
        <w:tblBorders>
          <w:top w:val="single" w:color="C9D1CD" w:sz="4"/>
          <w:left w:val="single" w:color="C9D1CD" w:sz="4"/>
          <w:bottom w:val="single" w:color="C9D1CD" w:sz="4"/>
          <w:right w:val="single" w:color="C9D1CD" w:sz="4"/>
          <w:insideH w:val="single" w:color="C9D1CD" w:sz="4"/>
          <w:insideV w:val="single" w:color="C9D1CD" w:sz="4"/>
        </w:tblBorders>
      </w:tblPr>
      <w:tblGrid>
        <w:gridCol w:w="5238"/>
        <w:gridCol w:w="1257"/>
        <w:gridCol w:w="3143"/>
      </w:tblGrid>
      <w:tr>
        <w:trPr>
          <w:cantSplit/>
          <w:tblHeader/>
        </w:trPr>
        <w:tc>
          <w:tcPr>
            <w:tcW w:type="dxa" w:w="5238"/>
            <w:shd w:fill="0E3B2C" w:color="auto" w:val="clear"/>
            <w:tcMar>
              <w:top w:type="dxa" w:w="70"/>
              <w:left w:type="dxa" w:w="100"/>
              <w:bottom w:type="dxa" w:w="70"/>
              <w:right w:type="dxa" w:w="100"/>
            </w:tcMar>
          </w:tcPr>
          <w:p>
            <w:pPr>
              <w:spacing w:before="0" w:after="0"/>
            </w:pPr>
            <w:r>
              <w:rPr>
                <w:b/>
                <w:bCs/>
                <w:color w:val="FFFFFF"/>
                <w:sz w:val="19"/>
                <w:szCs w:val="19"/>
              </w:rPr>
              <w:t xml:space="preserve">Factor</w:t>
            </w:r>
          </w:p>
        </w:tc>
        <w:tc>
          <w:tcPr>
            <w:tcW w:type="dxa" w:w="1257"/>
            <w:shd w:fill="0E3B2C" w:color="auto" w:val="clear"/>
            <w:tcMar>
              <w:top w:type="dxa" w:w="70"/>
              <w:left w:type="dxa" w:w="100"/>
              <w:bottom w:type="dxa" w:w="70"/>
              <w:right w:type="dxa" w:w="100"/>
            </w:tcMar>
          </w:tcPr>
          <w:p>
            <w:pPr>
              <w:spacing w:before="0" w:after="0"/>
            </w:pPr>
            <w:r>
              <w:rPr>
                <w:b/>
                <w:bCs/>
                <w:color w:val="FFFFFF"/>
                <w:sz w:val="19"/>
                <w:szCs w:val="19"/>
              </w:rPr>
              <w:t xml:space="preserve">Rating</w:t>
            </w:r>
          </w:p>
        </w:tc>
        <w:tc>
          <w:tcPr>
            <w:tcW w:type="dxa" w:w="3143"/>
            <w:shd w:fill="0E3B2C" w:color="auto" w:val="clear"/>
            <w:tcMar>
              <w:top w:type="dxa" w:w="70"/>
              <w:left w:type="dxa" w:w="100"/>
              <w:bottom w:type="dxa" w:w="70"/>
              <w:right w:type="dxa" w:w="100"/>
            </w:tcMar>
          </w:tcPr>
          <w:p>
            <w:pPr>
              <w:spacing w:before="0" w:after="0"/>
            </w:pPr>
            <w:r>
              <w:rPr>
                <w:b/>
                <w:bCs/>
                <w:color w:val="FFFFFF"/>
                <w:sz w:val="19"/>
                <w:szCs w:val="19"/>
              </w:rPr>
              <w:t xml:space="preserve">Explanation</w:t>
            </w:r>
          </w:p>
        </w:tc>
      </w:tr>
      <w:tr>
        <w:trPr>
          <w:cantSplit/>
        </w:trPr>
        <w:tc>
          <w:tcPr>
            <w:tcW w:type="dxa" w:w="5238"/>
            <w:tcMar>
              <w:top w:type="dxa" w:w="70"/>
              <w:left w:type="dxa" w:w="100"/>
              <w:bottom w:type="dxa" w:w="70"/>
              <w:right w:type="dxa" w:w="100"/>
            </w:tcMar>
          </w:tcPr>
          <w:p>
            <w:pPr>
              <w:spacing w:before="0" w:after="0"/>
            </w:pPr>
            <w:r>
              <w:rPr>
                <w:b w:val="false"/>
                <w:bCs w:val="false"/>
                <w:sz w:val="19"/>
                <w:szCs w:val="19"/>
              </w:rPr>
              <w:t xml:space="preserve">Met in person, by video, or entirely remotely</w:t>
            </w:r>
          </w:p>
        </w:tc>
        <w:tc>
          <w:tcPr>
            <w:tcW w:type="dxa" w:w="1257"/>
            <w:tcMar>
              <w:top w:type="dxa" w:w="70"/>
              <w:left w:type="dxa" w:w="100"/>
              <w:bottom w:type="dxa" w:w="70"/>
              <w:right w:type="dxa" w:w="100"/>
            </w:tcMar>
          </w:tcPr>
          <w:p>
            <w:pPr>
              <w:spacing w:before="0" w:after="0"/>
            </w:pPr>
            <w:r>
              <w:rPr>
                <w:b w:val="false"/>
                <w:bCs w:val="false"/>
                <w:color w:val="0A7A52"/>
                <w:sz w:val="19"/>
                <w:szCs w:val="19"/>
              </w:rPr>
              <w:t xml:space="preserve">[L / M / H]</w:t>
            </w:r>
          </w:p>
        </w:tc>
        <w:tc>
          <w:tcPr>
            <w:tcW w:type="dxa" w:w="3143"/>
            <w:tcMar>
              <w:top w:type="dxa" w:w="70"/>
              <w:left w:type="dxa" w:w="100"/>
              <w:bottom w:type="dxa" w:w="70"/>
              <w:right w:type="dxa" w:w="100"/>
            </w:tcMar>
          </w:tcPr>
          <w:p>
            <w:pPr>
              <w:spacing w:before="0" w:after="0"/>
            </w:pPr>
            <w:r>
              <w:rPr>
                <w:b w:val="false"/>
                <w:bCs w:val="false"/>
                <w:color w:val="0A7A52"/>
                <w:sz w:val="19"/>
                <w:szCs w:val="19"/>
              </w:rPr>
              <w:t xml:space="preserve">[ ]</w:t>
            </w:r>
          </w:p>
        </w:tc>
      </w:tr>
      <w:tr>
        <w:trPr>
          <w:cantSplit/>
        </w:trPr>
        <w:tc>
          <w:tcPr>
            <w:tcW w:type="dxa" w:w="5238"/>
            <w:tcMar>
              <w:top w:type="dxa" w:w="70"/>
              <w:left w:type="dxa" w:w="100"/>
              <w:bottom w:type="dxa" w:w="70"/>
              <w:right w:type="dxa" w:w="100"/>
            </w:tcMar>
          </w:tcPr>
          <w:p>
            <w:pPr>
              <w:spacing w:before="0" w:after="0"/>
            </w:pPr>
            <w:r>
              <w:rPr>
                <w:b w:val="false"/>
                <w:bCs w:val="false"/>
                <w:sz w:val="19"/>
                <w:szCs w:val="19"/>
              </w:rPr>
              <w:t xml:space="preserve">Introduced by a third party or acting through an attorney or agent</w:t>
            </w:r>
          </w:p>
        </w:tc>
        <w:tc>
          <w:tcPr>
            <w:tcW w:type="dxa" w:w="1257"/>
            <w:tcMar>
              <w:top w:type="dxa" w:w="70"/>
              <w:left w:type="dxa" w:w="100"/>
              <w:bottom w:type="dxa" w:w="70"/>
              <w:right w:type="dxa" w:w="100"/>
            </w:tcMar>
          </w:tcPr>
          <w:p>
            <w:pPr>
              <w:spacing w:before="0" w:after="0"/>
            </w:pPr>
            <w:r>
              <w:rPr>
                <w:b w:val="false"/>
                <w:bCs w:val="false"/>
                <w:color w:val="0A7A52"/>
                <w:sz w:val="19"/>
                <w:szCs w:val="19"/>
              </w:rPr>
              <w:t xml:space="preserve">[L / M / H]</w:t>
            </w:r>
          </w:p>
        </w:tc>
        <w:tc>
          <w:tcPr>
            <w:tcW w:type="dxa" w:w="3143"/>
            <w:tcMar>
              <w:top w:type="dxa" w:w="70"/>
              <w:left w:type="dxa" w:w="100"/>
              <w:bottom w:type="dxa" w:w="70"/>
              <w:right w:type="dxa" w:w="100"/>
            </w:tcMar>
          </w:tcPr>
          <w:p>
            <w:pPr>
              <w:spacing w:before="0" w:after="0"/>
            </w:pPr>
            <w:r>
              <w:rPr>
                <w:b w:val="false"/>
                <w:bCs w:val="false"/>
                <w:color w:val="0A7A52"/>
                <w:sz w:val="19"/>
                <w:szCs w:val="19"/>
              </w:rPr>
              <w:t xml:space="preserve">[ ]</w:t>
            </w:r>
          </w:p>
        </w:tc>
      </w:tr>
      <w:tr>
        <w:trPr>
          <w:cantSplit/>
        </w:trPr>
        <w:tc>
          <w:tcPr>
            <w:tcW w:type="dxa" w:w="5238"/>
            <w:tcMar>
              <w:top w:type="dxa" w:w="70"/>
              <w:left w:type="dxa" w:w="100"/>
              <w:bottom w:type="dxa" w:w="70"/>
              <w:right w:type="dxa" w:w="100"/>
            </w:tcMar>
          </w:tcPr>
          <w:p>
            <w:pPr>
              <w:spacing w:before="0" w:after="0"/>
            </w:pPr>
            <w:r>
              <w:rPr>
                <w:b w:val="false"/>
                <w:bCs w:val="false"/>
                <w:sz w:val="19"/>
                <w:szCs w:val="19"/>
              </w:rPr>
              <w:t xml:space="preserve">Electronic ID provider used and how its reliability was assessed</w:t>
            </w:r>
          </w:p>
        </w:tc>
        <w:tc>
          <w:tcPr>
            <w:tcW w:type="dxa" w:w="1257"/>
            <w:tcMar>
              <w:top w:type="dxa" w:w="70"/>
              <w:left w:type="dxa" w:w="100"/>
              <w:bottom w:type="dxa" w:w="70"/>
              <w:right w:type="dxa" w:w="100"/>
            </w:tcMar>
          </w:tcPr>
          <w:p>
            <w:pPr>
              <w:spacing w:before="0" w:after="0"/>
            </w:pPr>
            <w:r>
              <w:rPr>
                <w:b w:val="false"/>
                <w:bCs w:val="false"/>
                <w:color w:val="0A7A52"/>
                <w:sz w:val="19"/>
                <w:szCs w:val="19"/>
              </w:rPr>
              <w:t xml:space="preserve">[L / M / H]</w:t>
            </w:r>
          </w:p>
        </w:tc>
        <w:tc>
          <w:tcPr>
            <w:tcW w:type="dxa" w:w="3143"/>
            <w:tcMar>
              <w:top w:type="dxa" w:w="70"/>
              <w:left w:type="dxa" w:w="100"/>
              <w:bottom w:type="dxa" w:w="70"/>
              <w:right w:type="dxa" w:w="100"/>
            </w:tcMar>
          </w:tcPr>
          <w:p>
            <w:pPr>
              <w:spacing w:before="0" w:after="0"/>
            </w:pPr>
            <w:r>
              <w:rPr>
                <w:b w:val="false"/>
                <w:bCs w:val="false"/>
                <w:color w:val="0A7A52"/>
                <w:sz w:val="19"/>
                <w:szCs w:val="19"/>
              </w:rPr>
              <w:t xml:space="preserve">[ ]</w:t>
            </w:r>
          </w:p>
        </w:tc>
      </w:tr>
    </w:tbl>
    <w:p>
      <w:pPr>
        <w:spacing w:before="0" w:after="0"/>
      </w:pPr>
    </w:p>
    <w:p>
      <w:pPr>
        <w:pStyle w:val="Heading1"/>
      </w:pPr>
      <w:r>
        <w:t xml:space="preserve">4. Source of funds and source of wealth</w:t>
      </w:r>
    </w:p>
    <w:p>
      <w:pPr>
        <w:spacing w:after="120"/>
      </w:pPr>
      <w:r>
        <w:rPr>
          <w:b/>
          <w:bCs/>
        </w:rPr>
        <w:t xml:space="preserve">Source of funds</w:t>
      </w:r>
      <w:r>
        <w:t xml:space="preserve"> is where the money for this transaction comes from. </w:t>
      </w:r>
      <w:r>
        <w:rPr>
          <w:b/>
          <w:bCs/>
        </w:rPr>
        <w:t xml:space="preserve">Source of wealth</w:t>
      </w:r>
      <w:r>
        <w:t xml:space="preserve"> is how the client built up their overall wealth. You must establish both for PEPs (regulation 35) and for call-for-action country cases (regulation 33(3A)), and should consider them whenever the risk is high or the funds do not fit the client’s profile (HMRC AMLG11630).</w:t>
      </w:r>
    </w:p>
    <w:tbl>
      <w:tblPr>
        <w:tblW w:type="dxa" w:w="9638"/>
        <w:tblBorders>
          <w:top w:val="single" w:color="C9D1CD" w:sz="4"/>
          <w:left w:val="single" w:color="C9D1CD" w:sz="4"/>
          <w:bottom w:val="single" w:color="C9D1CD" w:sz="4"/>
          <w:right w:val="single" w:color="C9D1CD" w:sz="4"/>
          <w:insideH w:val="single" w:color="C9D1CD" w:sz="4"/>
          <w:insideV w:val="single" w:color="C9D1CD" w:sz="4"/>
        </w:tblBorders>
      </w:tblPr>
      <w:tblGrid>
        <w:gridCol w:w="2466"/>
        <w:gridCol w:w="2914"/>
        <w:gridCol w:w="3138"/>
        <w:gridCol w:w="1121"/>
      </w:tblGrid>
      <w:tr>
        <w:trPr>
          <w:cantSplit/>
          <w:tblHeader/>
        </w:trPr>
        <w:tc>
          <w:tcPr>
            <w:tcW w:type="dxa" w:w="2466"/>
            <w:shd w:fill="0E3B2C" w:color="auto" w:val="clear"/>
            <w:tcMar>
              <w:top w:type="dxa" w:w="70"/>
              <w:left w:type="dxa" w:w="100"/>
              <w:bottom w:type="dxa" w:w="70"/>
              <w:right w:type="dxa" w:w="100"/>
            </w:tcMar>
          </w:tcPr>
          <w:p>
            <w:pPr>
              <w:spacing w:before="0" w:after="0"/>
            </w:pPr>
            <w:r>
              <w:rPr>
                <w:b/>
                <w:bCs/>
                <w:color w:val="FFFFFF"/>
                <w:sz w:val="19"/>
                <w:szCs w:val="19"/>
              </w:rPr>
              <w:t xml:space="preserve">Item</w:t>
            </w:r>
          </w:p>
        </w:tc>
        <w:tc>
          <w:tcPr>
            <w:tcW w:type="dxa" w:w="2914"/>
            <w:shd w:fill="0E3B2C" w:color="auto" w:val="clear"/>
            <w:tcMar>
              <w:top w:type="dxa" w:w="70"/>
              <w:left w:type="dxa" w:w="100"/>
              <w:bottom w:type="dxa" w:w="70"/>
              <w:right w:type="dxa" w:w="100"/>
            </w:tcMar>
          </w:tcPr>
          <w:p>
            <w:pPr>
              <w:spacing w:before="0" w:after="0"/>
            </w:pPr>
            <w:r>
              <w:rPr>
                <w:b/>
                <w:bCs/>
                <w:color w:val="FFFFFF"/>
                <w:sz w:val="19"/>
                <w:szCs w:val="19"/>
              </w:rPr>
              <w:t xml:space="preserve">Client’s explanation</w:t>
            </w:r>
          </w:p>
        </w:tc>
        <w:tc>
          <w:tcPr>
            <w:tcW w:type="dxa" w:w="3138"/>
            <w:shd w:fill="0E3B2C" w:color="auto" w:val="clear"/>
            <w:tcMar>
              <w:top w:type="dxa" w:w="70"/>
              <w:left w:type="dxa" w:w="100"/>
              <w:bottom w:type="dxa" w:w="70"/>
              <w:right w:type="dxa" w:w="100"/>
            </w:tcMar>
          </w:tcPr>
          <w:p>
            <w:pPr>
              <w:spacing w:before="0" w:after="0"/>
            </w:pPr>
            <w:r>
              <w:rPr>
                <w:b/>
                <w:bCs/>
                <w:color w:val="FFFFFF"/>
                <w:sz w:val="19"/>
                <w:szCs w:val="19"/>
              </w:rPr>
              <w:t xml:space="preserve">Evidence seen (type, date)</w:t>
            </w:r>
          </w:p>
        </w:tc>
        <w:tc>
          <w:tcPr>
            <w:tcW w:type="dxa" w:w="1121"/>
            <w:shd w:fill="0E3B2C" w:color="auto" w:val="clear"/>
            <w:tcMar>
              <w:top w:type="dxa" w:w="70"/>
              <w:left w:type="dxa" w:w="100"/>
              <w:bottom w:type="dxa" w:w="70"/>
              <w:right w:type="dxa" w:w="100"/>
            </w:tcMar>
          </w:tcPr>
          <w:p>
            <w:pPr>
              <w:spacing w:before="0" w:after="0"/>
            </w:pPr>
            <w:r>
              <w:rPr>
                <w:b/>
                <w:bCs/>
                <w:color w:val="FFFFFF"/>
                <w:sz w:val="19"/>
                <w:szCs w:val="19"/>
              </w:rPr>
              <w:t xml:space="preserve">Consistent?</w:t>
            </w:r>
          </w:p>
        </w:tc>
      </w:tr>
      <w:tr>
        <w:trPr>
          <w:cantSplit/>
        </w:trPr>
        <w:tc>
          <w:tcPr>
            <w:tcW w:type="dxa" w:w="2466"/>
            <w:tcMar>
              <w:top w:type="dxa" w:w="70"/>
              <w:left w:type="dxa" w:w="100"/>
              <w:bottom w:type="dxa" w:w="70"/>
              <w:right w:type="dxa" w:w="100"/>
            </w:tcMar>
          </w:tcPr>
          <w:p>
            <w:pPr>
              <w:spacing w:before="0" w:after="0"/>
            </w:pPr>
            <w:r>
              <w:rPr>
                <w:b w:val="false"/>
                <w:bCs w:val="false"/>
                <w:sz w:val="19"/>
                <w:szCs w:val="19"/>
              </w:rPr>
              <w:t xml:space="preserve">Amount and currency</w:t>
            </w:r>
          </w:p>
        </w:tc>
        <w:tc>
          <w:tcPr>
            <w:tcW w:type="dxa" w:w="2914"/>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3138"/>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1121"/>
            <w:tcMar>
              <w:top w:type="dxa" w:w="70"/>
              <w:left w:type="dxa" w:w="100"/>
              <w:bottom w:type="dxa" w:w="70"/>
              <w:right w:type="dxa" w:w="100"/>
            </w:tcMar>
          </w:tcPr>
          <w:p>
            <w:pPr>
              <w:spacing w:before="0" w:after="0"/>
            </w:pPr>
            <w:r>
              <w:rPr>
                <w:b w:val="false"/>
                <w:bCs w:val="false"/>
                <w:color w:val="0A7A52"/>
                <w:sz w:val="19"/>
                <w:szCs w:val="19"/>
              </w:rPr>
              <w:t xml:space="preserve">[Y/N]</w:t>
            </w:r>
          </w:p>
        </w:tc>
      </w:tr>
      <w:tr>
        <w:trPr>
          <w:cantSplit/>
        </w:trPr>
        <w:tc>
          <w:tcPr>
            <w:tcW w:type="dxa" w:w="2466"/>
            <w:tcMar>
              <w:top w:type="dxa" w:w="70"/>
              <w:left w:type="dxa" w:w="100"/>
              <w:bottom w:type="dxa" w:w="70"/>
              <w:right w:type="dxa" w:w="100"/>
            </w:tcMar>
          </w:tcPr>
          <w:p>
            <w:pPr>
              <w:spacing w:before="0" w:after="0"/>
            </w:pPr>
            <w:r>
              <w:rPr>
                <w:b w:val="false"/>
                <w:bCs w:val="false"/>
                <w:sz w:val="19"/>
                <w:szCs w:val="19"/>
              </w:rPr>
              <w:t xml:space="preserve">Mortgage or loan</w:t>
            </w:r>
          </w:p>
        </w:tc>
        <w:tc>
          <w:tcPr>
            <w:tcW w:type="dxa" w:w="2914"/>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3138"/>
            <w:tcMar>
              <w:top w:type="dxa" w:w="70"/>
              <w:left w:type="dxa" w:w="100"/>
              <w:bottom w:type="dxa" w:w="70"/>
              <w:right w:type="dxa" w:w="100"/>
            </w:tcMar>
          </w:tcPr>
          <w:p>
            <w:pPr>
              <w:spacing w:before="0" w:after="0"/>
            </w:pPr>
            <w:r>
              <w:rPr>
                <w:b w:val="false"/>
                <w:bCs w:val="false"/>
                <w:color w:val="0A7A52"/>
                <w:sz w:val="19"/>
                <w:szCs w:val="19"/>
              </w:rPr>
              <w:t xml:space="preserve">[Offer / agreement in principle]</w:t>
            </w:r>
          </w:p>
        </w:tc>
        <w:tc>
          <w:tcPr>
            <w:tcW w:type="dxa" w:w="1121"/>
            <w:tcMar>
              <w:top w:type="dxa" w:w="70"/>
              <w:left w:type="dxa" w:w="100"/>
              <w:bottom w:type="dxa" w:w="70"/>
              <w:right w:type="dxa" w:w="100"/>
            </w:tcMar>
          </w:tcPr>
          <w:p>
            <w:pPr>
              <w:spacing w:before="0" w:after="0"/>
            </w:pPr>
            <w:r>
              <w:rPr>
                <w:b w:val="false"/>
                <w:bCs w:val="false"/>
                <w:color w:val="0A7A52"/>
                <w:sz w:val="19"/>
                <w:szCs w:val="19"/>
              </w:rPr>
              <w:t xml:space="preserve">[Y/N]</w:t>
            </w:r>
          </w:p>
        </w:tc>
      </w:tr>
      <w:tr>
        <w:trPr>
          <w:cantSplit/>
        </w:trPr>
        <w:tc>
          <w:tcPr>
            <w:tcW w:type="dxa" w:w="2466"/>
            <w:tcMar>
              <w:top w:type="dxa" w:w="70"/>
              <w:left w:type="dxa" w:w="100"/>
              <w:bottom w:type="dxa" w:w="70"/>
              <w:right w:type="dxa" w:w="100"/>
            </w:tcMar>
          </w:tcPr>
          <w:p>
            <w:pPr>
              <w:spacing w:before="0" w:after="0"/>
            </w:pPr>
            <w:r>
              <w:rPr>
                <w:b w:val="false"/>
                <w:bCs w:val="false"/>
                <w:sz w:val="19"/>
                <w:szCs w:val="19"/>
              </w:rPr>
              <w:t xml:space="preserve">Savings</w:t>
            </w:r>
          </w:p>
        </w:tc>
        <w:tc>
          <w:tcPr>
            <w:tcW w:type="dxa" w:w="2914"/>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3138"/>
            <w:tcMar>
              <w:top w:type="dxa" w:w="70"/>
              <w:left w:type="dxa" w:w="100"/>
              <w:bottom w:type="dxa" w:w="70"/>
              <w:right w:type="dxa" w:w="100"/>
            </w:tcMar>
          </w:tcPr>
          <w:p>
            <w:pPr>
              <w:spacing w:before="0" w:after="0"/>
            </w:pPr>
            <w:r>
              <w:rPr>
                <w:b w:val="false"/>
                <w:bCs w:val="false"/>
                <w:color w:val="0A7A52"/>
                <w:sz w:val="19"/>
                <w:szCs w:val="19"/>
              </w:rPr>
              <w:t xml:space="preserve">[Bank statements for [period]</w:t>
            </w:r>
            <w:r>
              <w:rPr>
                <w:b w:val="false"/>
                <w:bCs w:val="false"/>
                <w:sz w:val="19"/>
                <w:szCs w:val="19"/>
              </w:rPr>
              <w:t xml:space="preserve">]</w:t>
            </w:r>
          </w:p>
        </w:tc>
        <w:tc>
          <w:tcPr>
            <w:tcW w:type="dxa" w:w="1121"/>
            <w:tcMar>
              <w:top w:type="dxa" w:w="70"/>
              <w:left w:type="dxa" w:w="100"/>
              <w:bottom w:type="dxa" w:w="70"/>
              <w:right w:type="dxa" w:w="100"/>
            </w:tcMar>
          </w:tcPr>
          <w:p>
            <w:pPr>
              <w:spacing w:before="0" w:after="0"/>
            </w:pPr>
            <w:r>
              <w:rPr>
                <w:b w:val="false"/>
                <w:bCs w:val="false"/>
                <w:color w:val="0A7A52"/>
                <w:sz w:val="19"/>
                <w:szCs w:val="19"/>
              </w:rPr>
              <w:t xml:space="preserve">[Y/N]</w:t>
            </w:r>
          </w:p>
        </w:tc>
      </w:tr>
      <w:tr>
        <w:trPr>
          <w:cantSplit/>
        </w:trPr>
        <w:tc>
          <w:tcPr>
            <w:tcW w:type="dxa" w:w="2466"/>
            <w:tcMar>
              <w:top w:type="dxa" w:w="70"/>
              <w:left w:type="dxa" w:w="100"/>
              <w:bottom w:type="dxa" w:w="70"/>
              <w:right w:type="dxa" w:w="100"/>
            </w:tcMar>
          </w:tcPr>
          <w:p>
            <w:pPr>
              <w:spacing w:before="0" w:after="0"/>
            </w:pPr>
            <w:r>
              <w:rPr>
                <w:b w:val="false"/>
                <w:bCs w:val="false"/>
                <w:sz w:val="19"/>
                <w:szCs w:val="19"/>
              </w:rPr>
              <w:t xml:space="preserve">Sale of property or investments</w:t>
            </w:r>
          </w:p>
        </w:tc>
        <w:tc>
          <w:tcPr>
            <w:tcW w:type="dxa" w:w="2914"/>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3138"/>
            <w:tcMar>
              <w:top w:type="dxa" w:w="70"/>
              <w:left w:type="dxa" w:w="100"/>
              <w:bottom w:type="dxa" w:w="70"/>
              <w:right w:type="dxa" w:w="100"/>
            </w:tcMar>
          </w:tcPr>
          <w:p>
            <w:pPr>
              <w:spacing w:before="0" w:after="0"/>
            </w:pPr>
            <w:r>
              <w:rPr>
                <w:b w:val="false"/>
                <w:bCs w:val="false"/>
                <w:color w:val="0A7A52"/>
                <w:sz w:val="19"/>
                <w:szCs w:val="19"/>
              </w:rPr>
              <w:t xml:space="preserve">[Completion statement / contract note]</w:t>
            </w:r>
          </w:p>
        </w:tc>
        <w:tc>
          <w:tcPr>
            <w:tcW w:type="dxa" w:w="1121"/>
            <w:tcMar>
              <w:top w:type="dxa" w:w="70"/>
              <w:left w:type="dxa" w:w="100"/>
              <w:bottom w:type="dxa" w:w="70"/>
              <w:right w:type="dxa" w:w="100"/>
            </w:tcMar>
          </w:tcPr>
          <w:p>
            <w:pPr>
              <w:spacing w:before="0" w:after="0"/>
            </w:pPr>
            <w:r>
              <w:rPr>
                <w:b w:val="false"/>
                <w:bCs w:val="false"/>
                <w:color w:val="0A7A52"/>
                <w:sz w:val="19"/>
                <w:szCs w:val="19"/>
              </w:rPr>
              <w:t xml:space="preserve">[Y/N]</w:t>
            </w:r>
          </w:p>
        </w:tc>
      </w:tr>
      <w:tr>
        <w:trPr>
          <w:cantSplit/>
        </w:trPr>
        <w:tc>
          <w:tcPr>
            <w:tcW w:type="dxa" w:w="2466"/>
            <w:tcMar>
              <w:top w:type="dxa" w:w="70"/>
              <w:left w:type="dxa" w:w="100"/>
              <w:bottom w:type="dxa" w:w="70"/>
              <w:right w:type="dxa" w:w="100"/>
            </w:tcMar>
          </w:tcPr>
          <w:p>
            <w:pPr>
              <w:spacing w:before="0" w:after="0"/>
            </w:pPr>
            <w:r>
              <w:rPr>
                <w:b w:val="false"/>
                <w:bCs w:val="false"/>
                <w:sz w:val="19"/>
                <w:szCs w:val="19"/>
              </w:rPr>
              <w:t xml:space="preserve">Gift (name of donor, relationship)</w:t>
            </w:r>
          </w:p>
        </w:tc>
        <w:tc>
          <w:tcPr>
            <w:tcW w:type="dxa" w:w="2914"/>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3138"/>
            <w:tcMar>
              <w:top w:type="dxa" w:w="70"/>
              <w:left w:type="dxa" w:w="100"/>
              <w:bottom w:type="dxa" w:w="70"/>
              <w:right w:type="dxa" w:w="100"/>
            </w:tcMar>
          </w:tcPr>
          <w:p>
            <w:pPr>
              <w:spacing w:before="0" w:after="0"/>
            </w:pPr>
            <w:r>
              <w:rPr>
                <w:b w:val="false"/>
                <w:bCs w:val="false"/>
                <w:color w:val="0A7A52"/>
                <w:sz w:val="19"/>
                <w:szCs w:val="19"/>
              </w:rPr>
              <w:t xml:space="preserve">[Gift letter, donor ID and donor’s source of funds]</w:t>
            </w:r>
          </w:p>
        </w:tc>
        <w:tc>
          <w:tcPr>
            <w:tcW w:type="dxa" w:w="1121"/>
            <w:tcMar>
              <w:top w:type="dxa" w:w="70"/>
              <w:left w:type="dxa" w:w="100"/>
              <w:bottom w:type="dxa" w:w="70"/>
              <w:right w:type="dxa" w:w="100"/>
            </w:tcMar>
          </w:tcPr>
          <w:p>
            <w:pPr>
              <w:spacing w:before="0" w:after="0"/>
            </w:pPr>
            <w:r>
              <w:rPr>
                <w:b w:val="false"/>
                <w:bCs w:val="false"/>
                <w:color w:val="0A7A52"/>
                <w:sz w:val="19"/>
                <w:szCs w:val="19"/>
              </w:rPr>
              <w:t xml:space="preserve">[Y/N]</w:t>
            </w:r>
          </w:p>
        </w:tc>
      </w:tr>
      <w:tr>
        <w:trPr>
          <w:cantSplit/>
        </w:trPr>
        <w:tc>
          <w:tcPr>
            <w:tcW w:type="dxa" w:w="2466"/>
            <w:tcMar>
              <w:top w:type="dxa" w:w="70"/>
              <w:left w:type="dxa" w:w="100"/>
              <w:bottom w:type="dxa" w:w="70"/>
              <w:right w:type="dxa" w:w="100"/>
            </w:tcMar>
          </w:tcPr>
          <w:p>
            <w:pPr>
              <w:spacing w:before="0" w:after="0"/>
            </w:pPr>
            <w:r>
              <w:rPr>
                <w:b w:val="false"/>
                <w:bCs w:val="false"/>
                <w:sz w:val="19"/>
                <w:szCs w:val="19"/>
              </w:rPr>
              <w:t xml:space="preserve">Inheritance, business income, other</w:t>
            </w:r>
          </w:p>
        </w:tc>
        <w:tc>
          <w:tcPr>
            <w:tcW w:type="dxa" w:w="2914"/>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3138"/>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1121"/>
            <w:tcMar>
              <w:top w:type="dxa" w:w="70"/>
              <w:left w:type="dxa" w:w="100"/>
              <w:bottom w:type="dxa" w:w="70"/>
              <w:right w:type="dxa" w:w="100"/>
            </w:tcMar>
          </w:tcPr>
          <w:p>
            <w:pPr>
              <w:spacing w:before="0" w:after="0"/>
            </w:pPr>
            <w:r>
              <w:rPr>
                <w:b w:val="false"/>
                <w:bCs w:val="false"/>
                <w:color w:val="0A7A52"/>
                <w:sz w:val="19"/>
                <w:szCs w:val="19"/>
              </w:rPr>
              <w:t xml:space="preserve">[Y/N]</w:t>
            </w:r>
          </w:p>
        </w:tc>
      </w:tr>
      <w:tr>
        <w:trPr>
          <w:cantSplit/>
        </w:trPr>
        <w:tc>
          <w:tcPr>
            <w:tcW w:type="dxa" w:w="2466"/>
            <w:tcMar>
              <w:top w:type="dxa" w:w="70"/>
              <w:left w:type="dxa" w:w="100"/>
              <w:bottom w:type="dxa" w:w="70"/>
              <w:right w:type="dxa" w:w="100"/>
            </w:tcMar>
          </w:tcPr>
          <w:p>
            <w:pPr>
              <w:spacing w:before="0" w:after="0"/>
            </w:pPr>
            <w:r>
              <w:rPr>
                <w:b w:val="false"/>
                <w:bCs w:val="false"/>
                <w:sz w:val="19"/>
                <w:szCs w:val="19"/>
              </w:rPr>
              <w:t xml:space="preserve">Source of wealth (if required)</w:t>
            </w:r>
          </w:p>
        </w:tc>
        <w:tc>
          <w:tcPr>
            <w:tcW w:type="dxa" w:w="2914"/>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3138"/>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1121"/>
            <w:tcMar>
              <w:top w:type="dxa" w:w="70"/>
              <w:left w:type="dxa" w:w="100"/>
              <w:bottom w:type="dxa" w:w="70"/>
              <w:right w:type="dxa" w:w="100"/>
            </w:tcMar>
          </w:tcPr>
          <w:p>
            <w:pPr>
              <w:spacing w:before="0" w:after="0"/>
            </w:pPr>
            <w:r>
              <w:rPr>
                <w:b w:val="false"/>
                <w:bCs w:val="false"/>
                <w:color w:val="0A7A52"/>
                <w:sz w:val="19"/>
                <w:szCs w:val="19"/>
              </w:rPr>
              <w:t xml:space="preserve">[Y/N]</w:t>
            </w:r>
          </w:p>
        </w:tc>
      </w:tr>
      <w:tr>
        <w:trPr>
          <w:cantSplit/>
        </w:trPr>
        <w:tc>
          <w:tcPr>
            <w:tcW w:type="dxa" w:w="2466"/>
            <w:tcMar>
              <w:top w:type="dxa" w:w="70"/>
              <w:left w:type="dxa" w:w="100"/>
              <w:bottom w:type="dxa" w:w="70"/>
              <w:right w:type="dxa" w:w="100"/>
            </w:tcMar>
          </w:tcPr>
          <w:p>
            <w:pPr>
              <w:spacing w:before="0" w:after="0"/>
            </w:pPr>
            <w:r>
              <w:rPr>
                <w:b w:val="false"/>
                <w:bCs w:val="false"/>
                <w:sz w:val="19"/>
                <w:szCs w:val="19"/>
              </w:rPr>
              <w:t xml:space="preserve">Account the funds will come from</w:t>
            </w:r>
          </w:p>
        </w:tc>
        <w:tc>
          <w:tcPr>
            <w:tcW w:type="dxa" w:w="2914"/>
            <w:tcMar>
              <w:top w:type="dxa" w:w="70"/>
              <w:left w:type="dxa" w:w="100"/>
              <w:bottom w:type="dxa" w:w="70"/>
              <w:right w:type="dxa" w:w="100"/>
            </w:tcMar>
          </w:tcPr>
          <w:p>
            <w:pPr>
              <w:spacing w:before="0" w:after="0"/>
            </w:pPr>
            <w:r>
              <w:rPr>
                <w:b w:val="false"/>
                <w:bCs w:val="false"/>
                <w:color w:val="0A7A52"/>
                <w:sz w:val="19"/>
                <w:szCs w:val="19"/>
              </w:rPr>
              <w:t xml:space="preserve">[Bank, account name, country]</w:t>
            </w:r>
          </w:p>
        </w:tc>
        <w:tc>
          <w:tcPr>
            <w:tcW w:type="dxa" w:w="3138"/>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1121"/>
            <w:tcMar>
              <w:top w:type="dxa" w:w="70"/>
              <w:left w:type="dxa" w:w="100"/>
              <w:bottom w:type="dxa" w:w="70"/>
              <w:right w:type="dxa" w:w="100"/>
            </w:tcMar>
          </w:tcPr>
          <w:p>
            <w:pPr>
              <w:spacing w:before="0" w:after="0"/>
            </w:pPr>
            <w:r>
              <w:rPr>
                <w:b w:val="false"/>
                <w:bCs w:val="false"/>
                <w:color w:val="0A7A52"/>
                <w:sz w:val="19"/>
                <w:szCs w:val="19"/>
              </w:rPr>
              <w:t xml:space="preserve">[Y/N]</w:t>
            </w:r>
          </w:p>
        </w:tc>
      </w:tr>
    </w:tbl>
    <w:p>
      <w:pPr>
        <w:spacing w:before="0" w:after="0"/>
      </w:pPr>
    </w:p>
    <w:p>
      <w:pPr>
        <w:pStyle w:val="Heading1"/>
      </w:pPr>
      <w:r>
        <w:t xml:space="preserve">5. Enhanced due diligence applied</w:t>
      </w:r>
    </w:p>
    <w:p>
      <w:pPr>
        <w:spacing w:after="120"/>
      </w:pPr>
      <w:r>
        <w:t xml:space="preserve">Complete if any trigger in section 2 is Yes or the overall rating is High.</w:t>
      </w:r>
    </w:p>
    <w:p>
      <w:pPr>
        <w:tabs>
          <w:tab w:val="left" w:pos="400"/>
        </w:tabs>
        <w:spacing w:after="70"/>
        <w:ind w:left="400" w:hanging="400"/>
      </w:pPr>
      <w:r>
        <w:t xml:space="preserve">☐</w:t>
      </w:r>
      <w:r>
        <w:t xml:space="preserve">	</w:t>
      </w:r>
      <w:r>
        <w:t xml:space="preserve">Additional information on the client and beneficial owners (e.g. occupation, business activities, reputation)</w:t>
      </w:r>
    </w:p>
    <w:p>
      <w:pPr>
        <w:tabs>
          <w:tab w:val="left" w:pos="400"/>
        </w:tabs>
        <w:spacing w:after="70"/>
        <w:ind w:left="400" w:hanging="400"/>
      </w:pPr>
      <w:r>
        <w:t xml:space="preserve">☐</w:t>
      </w:r>
      <w:r>
        <w:t xml:space="preserve">	</w:t>
      </w:r>
      <w:r>
        <w:t xml:space="preserve">Additional information on the intended nature of the relationship and the reasons for the transaction</w:t>
      </w:r>
    </w:p>
    <w:p>
      <w:pPr>
        <w:tabs>
          <w:tab w:val="left" w:pos="400"/>
        </w:tabs>
        <w:spacing w:after="70"/>
        <w:ind w:left="400" w:hanging="400"/>
      </w:pPr>
      <w:r>
        <w:t xml:space="preserve">☐</w:t>
      </w:r>
      <w:r>
        <w:t xml:space="preserve">	</w:t>
      </w:r>
      <w:r>
        <w:t xml:space="preserve">Source of funds evidenced</w:t>
      </w:r>
    </w:p>
    <w:p>
      <w:pPr>
        <w:tabs>
          <w:tab w:val="left" w:pos="400"/>
        </w:tabs>
        <w:spacing w:after="70"/>
        <w:ind w:left="400" w:hanging="400"/>
      </w:pPr>
      <w:r>
        <w:t xml:space="preserve">☐</w:t>
      </w:r>
      <w:r>
        <w:t xml:space="preserve">	</w:t>
      </w:r>
      <w:r>
        <w:t xml:space="preserve">Source of wealth evidenced</w:t>
      </w:r>
    </w:p>
    <w:p>
      <w:pPr>
        <w:tabs>
          <w:tab w:val="left" w:pos="400"/>
        </w:tabs>
        <w:spacing w:after="70"/>
        <w:ind w:left="400" w:hanging="400"/>
      </w:pPr>
      <w:r>
        <w:t xml:space="preserve">☐</w:t>
      </w:r>
      <w:r>
        <w:t xml:space="preserve">	</w:t>
      </w:r>
      <w:r>
        <w:t xml:space="preserve">Senior management approval obtained before acting (required for PEPs and call for action country cases)</w:t>
      </w:r>
    </w:p>
    <w:p>
      <w:pPr>
        <w:tabs>
          <w:tab w:val="left" w:pos="400"/>
        </w:tabs>
        <w:spacing w:after="70"/>
        <w:ind w:left="400" w:hanging="400"/>
      </w:pPr>
      <w:r>
        <w:t xml:space="preserve">☐</w:t>
      </w:r>
      <w:r>
        <w:t xml:space="preserve">	</w:t>
      </w:r>
      <w:r>
        <w:t xml:space="preserve">Identity verified from an additional independent source</w:t>
      </w:r>
    </w:p>
    <w:p>
      <w:pPr>
        <w:tabs>
          <w:tab w:val="left" w:pos="400"/>
        </w:tabs>
        <w:spacing w:after="70"/>
        <w:ind w:left="400" w:hanging="400"/>
      </w:pPr>
      <w:r>
        <w:t xml:space="preserve">☐</w:t>
      </w:r>
      <w:r>
        <w:t xml:space="preserve">	</w:t>
      </w:r>
      <w:r>
        <w:t xml:space="preserve">Enhanced ongoing monitoring set up: </w:t>
      </w:r>
      <w:r>
        <w:rPr>
          <w:color w:val="0A7A52"/>
        </w:rPr>
        <w:t xml:space="preserve">[describe frequency and what will be checked]</w:t>
      </w:r>
    </w:p>
    <w:p>
      <w:pPr>
        <w:tabs>
          <w:tab w:val="left" w:pos="400"/>
        </w:tabs>
        <w:spacing w:after="70"/>
        <w:ind w:left="400" w:hanging="400"/>
      </w:pPr>
      <w:r>
        <w:t xml:space="preserve">☐</w:t>
      </w:r>
      <w:r>
        <w:t xml:space="preserve">	</w:t>
      </w:r>
      <w:r>
        <w:t xml:space="preserve">PEP: role </w:t>
      </w:r>
      <w:r>
        <w:rPr>
          <w:color w:val="0A7A52"/>
        </w:rPr>
        <w:t xml:space="preserve">[ ]</w:t>
      </w:r>
      <w:r>
        <w:t xml:space="preserve">, country </w:t>
      </w:r>
      <w:r>
        <w:rPr>
          <w:color w:val="0A7A52"/>
        </w:rPr>
        <w:t xml:space="preserve">[ ]</w:t>
      </w:r>
      <w:r>
        <w:t xml:space="preserve">, date left office </w:t>
      </w:r>
      <w:r>
        <w:rPr>
          <w:color w:val="0A7A52"/>
        </w:rPr>
        <w:t xml:space="preserve">[ ]</w:t>
      </w:r>
      <w:r>
        <w:t xml:space="preserve">; UK PEP treated as lower risk unless other factors indicate otherwise (HMRC AMLG11650); EDD continues at least 12 months after leaving office</w:t>
      </w:r>
    </w:p>
    <w:p>
      <w:pPr>
        <w:pStyle w:val="Heading1"/>
      </w:pPr>
      <w:r>
        <w:t xml:space="preserve">6. Overall rating and decision</w:t>
      </w:r>
    </w:p>
    <w:tbl>
      <w:tblPr>
        <w:tblW w:type="dxa" w:w="9638"/>
        <w:tblBorders>
          <w:top w:val="single" w:color="C9D1CD" w:sz="4"/>
          <w:left w:val="single" w:color="C9D1CD" w:sz="4"/>
          <w:bottom w:val="single" w:color="C9D1CD" w:sz="4"/>
          <w:right w:val="single" w:color="C9D1CD" w:sz="4"/>
          <w:insideH w:val="single" w:color="C9D1CD" w:sz="4"/>
          <w:insideV w:val="single" w:color="C9D1CD" w:sz="4"/>
        </w:tblBorders>
      </w:tblPr>
      <w:tblGrid>
        <w:gridCol w:w="3662"/>
        <w:gridCol w:w="5976"/>
      </w:tblGrid>
      <w:tr>
        <w:trPr>
          <w:cantSplit/>
        </w:trPr>
        <w:tc>
          <w:tcPr>
            <w:tcW w:type="dxa" w:w="3662"/>
            <w:shd w:fill="EEF3F1" w:color="auto" w:val="clear"/>
            <w:tcMar>
              <w:top w:type="dxa" w:w="70"/>
              <w:left w:type="dxa" w:w="100"/>
              <w:bottom w:type="dxa" w:w="70"/>
              <w:right w:type="dxa" w:w="100"/>
            </w:tcMar>
          </w:tcPr>
          <w:p>
            <w:pPr>
              <w:spacing w:before="0" w:after="0"/>
            </w:pPr>
            <w:r>
              <w:rPr>
                <w:b/>
                <w:bCs/>
                <w:sz w:val="19"/>
                <w:szCs w:val="19"/>
              </w:rPr>
              <w:t xml:space="preserve">Overall risk rating</w:t>
            </w:r>
          </w:p>
        </w:tc>
        <w:tc>
          <w:tcPr>
            <w:tcW w:type="dxa" w:w="5976"/>
            <w:tcMar>
              <w:top w:type="dxa" w:w="70"/>
              <w:left w:type="dxa" w:w="100"/>
              <w:bottom w:type="dxa" w:w="70"/>
              <w:right w:type="dxa" w:w="100"/>
            </w:tcMar>
          </w:tcPr>
          <w:p>
            <w:pPr>
              <w:spacing w:before="0" w:after="0"/>
            </w:pPr>
            <w:r>
              <w:rPr>
                <w:b w:val="false"/>
                <w:bCs w:val="false"/>
                <w:color w:val="0A7A52"/>
                <w:sz w:val="19"/>
                <w:szCs w:val="19"/>
              </w:rPr>
              <w:t xml:space="preserve">[Low / Medium / High]</w:t>
            </w:r>
          </w:p>
        </w:tc>
      </w:tr>
      <w:tr>
        <w:trPr>
          <w:cantSplit/>
        </w:trPr>
        <w:tc>
          <w:tcPr>
            <w:tcW w:type="dxa" w:w="3662"/>
            <w:shd w:fill="EEF3F1" w:color="auto" w:val="clear"/>
            <w:tcMar>
              <w:top w:type="dxa" w:w="70"/>
              <w:left w:type="dxa" w:w="100"/>
              <w:bottom w:type="dxa" w:w="70"/>
              <w:right w:type="dxa" w:w="100"/>
            </w:tcMar>
          </w:tcPr>
          <w:p>
            <w:pPr>
              <w:spacing w:before="0" w:after="0"/>
            </w:pPr>
            <w:r>
              <w:rPr>
                <w:b/>
                <w:bCs/>
                <w:sz w:val="19"/>
                <w:szCs w:val="19"/>
              </w:rPr>
              <w:t xml:space="preserve">CDD level</w:t>
            </w:r>
          </w:p>
        </w:tc>
        <w:tc>
          <w:tcPr>
            <w:tcW w:type="dxa" w:w="5976"/>
            <w:tcMar>
              <w:top w:type="dxa" w:w="70"/>
              <w:left w:type="dxa" w:w="100"/>
              <w:bottom w:type="dxa" w:w="70"/>
              <w:right w:type="dxa" w:w="100"/>
            </w:tcMar>
          </w:tcPr>
          <w:p>
            <w:pPr>
              <w:spacing w:before="0" w:after="0"/>
            </w:pPr>
            <w:r>
              <w:rPr>
                <w:b w:val="false"/>
                <w:bCs w:val="false"/>
                <w:color w:val="0A7A52"/>
                <w:sz w:val="19"/>
                <w:szCs w:val="19"/>
              </w:rPr>
              <w:t xml:space="preserve">[Simplified (regulation 37) / Standard / Enhanced]</w:t>
            </w:r>
          </w:p>
        </w:tc>
      </w:tr>
      <w:tr>
        <w:trPr>
          <w:cantSplit/>
        </w:trPr>
        <w:tc>
          <w:tcPr>
            <w:tcW w:type="dxa" w:w="3662"/>
            <w:shd w:fill="EEF3F1" w:color="auto" w:val="clear"/>
            <w:tcMar>
              <w:top w:type="dxa" w:w="70"/>
              <w:left w:type="dxa" w:w="100"/>
              <w:bottom w:type="dxa" w:w="70"/>
              <w:right w:type="dxa" w:w="100"/>
            </w:tcMar>
          </w:tcPr>
          <w:p>
            <w:pPr>
              <w:spacing w:before="0" w:after="0"/>
            </w:pPr>
            <w:r>
              <w:rPr>
                <w:b/>
                <w:bCs/>
                <w:sz w:val="19"/>
                <w:szCs w:val="19"/>
              </w:rPr>
              <w:t xml:space="preserve">Reasons</w:t>
            </w:r>
          </w:p>
        </w:tc>
        <w:tc>
          <w:tcPr>
            <w:tcW w:type="dxa" w:w="5976"/>
            <w:tcMar>
              <w:top w:type="dxa" w:w="70"/>
              <w:left w:type="dxa" w:w="100"/>
              <w:bottom w:type="dxa" w:w="70"/>
              <w:right w:type="dxa" w:w="100"/>
            </w:tcMar>
          </w:tcPr>
          <w:p>
            <w:pPr>
              <w:spacing w:before="0" w:after="0"/>
            </w:pPr>
            <w:r>
              <w:rPr>
                <w:b w:val="false"/>
                <w:bCs w:val="false"/>
                <w:color w:val="0A7A52"/>
                <w:sz w:val="19"/>
                <w:szCs w:val="19"/>
              </w:rPr>
              <w:t xml:space="preserve">[Explain the rating, especially if any factor is High but the overall rating is not]</w:t>
            </w:r>
          </w:p>
        </w:tc>
      </w:tr>
      <w:tr>
        <w:trPr>
          <w:cantSplit/>
        </w:trPr>
        <w:tc>
          <w:tcPr>
            <w:tcW w:type="dxa" w:w="3662"/>
            <w:shd w:fill="EEF3F1" w:color="auto" w:val="clear"/>
            <w:tcMar>
              <w:top w:type="dxa" w:w="70"/>
              <w:left w:type="dxa" w:w="100"/>
              <w:bottom w:type="dxa" w:w="70"/>
              <w:right w:type="dxa" w:w="100"/>
            </w:tcMar>
          </w:tcPr>
          <w:p>
            <w:pPr>
              <w:spacing w:before="0" w:after="0"/>
            </w:pPr>
            <w:r>
              <w:rPr>
                <w:b/>
                <w:bCs/>
                <w:sz w:val="19"/>
                <w:szCs w:val="19"/>
              </w:rPr>
              <w:t xml:space="preserve">Decision</w:t>
            </w:r>
          </w:p>
        </w:tc>
        <w:tc>
          <w:tcPr>
            <w:tcW w:type="dxa" w:w="5976"/>
            <w:tcMar>
              <w:top w:type="dxa" w:w="70"/>
              <w:left w:type="dxa" w:w="100"/>
              <w:bottom w:type="dxa" w:w="70"/>
              <w:right w:type="dxa" w:w="100"/>
            </w:tcMar>
          </w:tcPr>
          <w:p>
            <w:pPr>
              <w:spacing w:before="0" w:after="0"/>
            </w:pPr>
            <w:r>
              <w:rPr>
                <w:b w:val="false"/>
                <w:bCs w:val="false"/>
                <w:color w:val="0A7A52"/>
                <w:sz w:val="19"/>
                <w:szCs w:val="19"/>
              </w:rPr>
              <w:t xml:space="preserve">[Accept / Accept with conditions / Decline / Refer to nominated officer]</w:t>
            </w:r>
          </w:p>
        </w:tc>
      </w:tr>
      <w:tr>
        <w:trPr>
          <w:cantSplit/>
        </w:trPr>
        <w:tc>
          <w:tcPr>
            <w:tcW w:type="dxa" w:w="3662"/>
            <w:shd w:fill="EEF3F1" w:color="auto" w:val="clear"/>
            <w:tcMar>
              <w:top w:type="dxa" w:w="70"/>
              <w:left w:type="dxa" w:w="100"/>
              <w:bottom w:type="dxa" w:w="70"/>
              <w:right w:type="dxa" w:w="100"/>
            </w:tcMar>
          </w:tcPr>
          <w:p>
            <w:pPr>
              <w:spacing w:before="0" w:after="0"/>
            </w:pPr>
            <w:r>
              <w:rPr>
                <w:b/>
                <w:bCs/>
                <w:sz w:val="19"/>
                <w:szCs w:val="19"/>
              </w:rPr>
              <w:t xml:space="preserve">Conditions or monitoring</w:t>
            </w:r>
          </w:p>
        </w:tc>
        <w:tc>
          <w:tcPr>
            <w:tcW w:type="dxa" w:w="5976"/>
            <w:tcMar>
              <w:top w:type="dxa" w:w="70"/>
              <w:left w:type="dxa" w:w="100"/>
              <w:bottom w:type="dxa" w:w="70"/>
              <w:right w:type="dxa" w:w="100"/>
            </w:tcMar>
          </w:tcPr>
          <w:p>
            <w:pPr>
              <w:spacing w:before="0" w:after="0"/>
            </w:pPr>
            <w:r>
              <w:rPr>
                <w:b w:val="false"/>
                <w:bCs w:val="false"/>
                <w:color w:val="0A7A52"/>
                <w:sz w:val="19"/>
                <w:szCs w:val="19"/>
              </w:rPr>
              <w:t xml:space="preserve">[ ]</w:t>
            </w:r>
          </w:p>
        </w:tc>
      </w:tr>
      <w:tr>
        <w:trPr>
          <w:cantSplit/>
        </w:trPr>
        <w:tc>
          <w:tcPr>
            <w:tcW w:type="dxa" w:w="3662"/>
            <w:shd w:fill="EEF3F1" w:color="auto" w:val="clear"/>
            <w:tcMar>
              <w:top w:type="dxa" w:w="70"/>
              <w:left w:type="dxa" w:w="100"/>
              <w:bottom w:type="dxa" w:w="70"/>
              <w:right w:type="dxa" w:w="100"/>
            </w:tcMar>
          </w:tcPr>
          <w:p>
            <w:pPr>
              <w:spacing w:before="0" w:after="0"/>
            </w:pPr>
            <w:r>
              <w:rPr>
                <w:b/>
                <w:bCs/>
                <w:sz w:val="19"/>
                <w:szCs w:val="19"/>
              </w:rPr>
              <w:t xml:space="preserve">Next review date</w:t>
            </w:r>
          </w:p>
        </w:tc>
        <w:tc>
          <w:tcPr>
            <w:tcW w:type="dxa" w:w="5976"/>
            <w:tcMar>
              <w:top w:type="dxa" w:w="70"/>
              <w:left w:type="dxa" w:w="100"/>
              <w:bottom w:type="dxa" w:w="70"/>
              <w:right w:type="dxa" w:w="100"/>
            </w:tcMar>
          </w:tcPr>
          <w:p>
            <w:pPr>
              <w:spacing w:before="0" w:after="0"/>
            </w:pPr>
            <w:r>
              <w:rPr>
                <w:b w:val="false"/>
                <w:bCs w:val="false"/>
                <w:color w:val="0A7A52"/>
                <w:sz w:val="19"/>
                <w:szCs w:val="19"/>
              </w:rPr>
              <w:t xml:space="preserve">[Low: [36]</w:t>
            </w:r>
            <w:r>
              <w:rPr>
                <w:b w:val="false"/>
                <w:bCs w:val="false"/>
                <w:sz w:val="19"/>
                <w:szCs w:val="19"/>
              </w:rPr>
              <w:t xml:space="preserve"> months / Medium: </w:t>
            </w:r>
            <w:r>
              <w:rPr>
                <w:b w:val="false"/>
                <w:bCs w:val="false"/>
                <w:color w:val="0A7A52"/>
                <w:sz w:val="19"/>
                <w:szCs w:val="19"/>
              </w:rPr>
              <w:t xml:space="preserve">[24]</w:t>
            </w:r>
            <w:r>
              <w:rPr>
                <w:b w:val="false"/>
                <w:bCs w:val="false"/>
                <w:sz w:val="19"/>
                <w:szCs w:val="19"/>
              </w:rPr>
              <w:t xml:space="preserve"> months / High: </w:t>
            </w:r>
            <w:r>
              <w:rPr>
                <w:b w:val="false"/>
                <w:bCs w:val="false"/>
                <w:color w:val="0A7A52"/>
                <w:sz w:val="19"/>
                <w:szCs w:val="19"/>
              </w:rPr>
              <w:t xml:space="preserve">[12]</w:t>
            </w:r>
            <w:r>
              <w:rPr>
                <w:b w:val="false"/>
                <w:bCs w:val="false"/>
                <w:sz w:val="19"/>
                <w:szCs w:val="19"/>
              </w:rPr>
              <w:t xml:space="preserve"> months, or on any trigger event]</w:t>
            </w:r>
          </w:p>
        </w:tc>
      </w:tr>
      <w:tr>
        <w:trPr>
          <w:cantSplit/>
        </w:trPr>
        <w:tc>
          <w:tcPr>
            <w:tcW w:type="dxa" w:w="3662"/>
            <w:shd w:fill="EEF3F1" w:color="auto" w:val="clear"/>
            <w:tcMar>
              <w:top w:type="dxa" w:w="70"/>
              <w:left w:type="dxa" w:w="100"/>
              <w:bottom w:type="dxa" w:w="70"/>
              <w:right w:type="dxa" w:w="100"/>
            </w:tcMar>
          </w:tcPr>
          <w:p>
            <w:pPr>
              <w:spacing w:before="0" w:after="0"/>
            </w:pPr>
            <w:r>
              <w:rPr>
                <w:b/>
                <w:bCs/>
                <w:sz w:val="19"/>
                <w:szCs w:val="19"/>
              </w:rPr>
              <w:t xml:space="preserve">Assessed by (name, signature, date)</w:t>
            </w:r>
          </w:p>
        </w:tc>
        <w:tc>
          <w:tcPr>
            <w:tcW w:type="dxa" w:w="5976"/>
            <w:tcMar>
              <w:top w:type="dxa" w:w="70"/>
              <w:left w:type="dxa" w:w="100"/>
              <w:bottom w:type="dxa" w:w="70"/>
              <w:right w:type="dxa" w:w="100"/>
            </w:tcMar>
          </w:tcPr>
          <w:p>
            <w:pPr>
              <w:spacing w:before="0" w:after="0"/>
            </w:pPr>
            <w:r>
              <w:rPr>
                <w:b w:val="false"/>
                <w:bCs w:val="false"/>
                <w:color w:val="0A7A52"/>
                <w:sz w:val="19"/>
                <w:szCs w:val="19"/>
              </w:rPr>
              <w:t xml:space="preserve">[ ]</w:t>
            </w:r>
          </w:p>
        </w:tc>
      </w:tr>
      <w:tr>
        <w:trPr>
          <w:cantSplit/>
        </w:trPr>
        <w:tc>
          <w:tcPr>
            <w:tcW w:type="dxa" w:w="3662"/>
            <w:shd w:fill="EEF3F1" w:color="auto" w:val="clear"/>
            <w:tcMar>
              <w:top w:type="dxa" w:w="70"/>
              <w:left w:type="dxa" w:w="100"/>
              <w:bottom w:type="dxa" w:w="70"/>
              <w:right w:type="dxa" w:w="100"/>
            </w:tcMar>
          </w:tcPr>
          <w:p>
            <w:pPr>
              <w:spacing w:before="0" w:after="0"/>
            </w:pPr>
            <w:r>
              <w:rPr>
                <w:b/>
                <w:bCs/>
                <w:sz w:val="19"/>
                <w:szCs w:val="19"/>
              </w:rPr>
              <w:t xml:space="preserve">Approved by senior manager (name, signature, date)</w:t>
            </w:r>
          </w:p>
        </w:tc>
        <w:tc>
          <w:tcPr>
            <w:tcW w:type="dxa" w:w="5976"/>
            <w:tcMar>
              <w:top w:type="dxa" w:w="70"/>
              <w:left w:type="dxa" w:w="100"/>
              <w:bottom w:type="dxa" w:w="70"/>
              <w:right w:type="dxa" w:w="100"/>
            </w:tcMar>
          </w:tcPr>
          <w:p>
            <w:pPr>
              <w:spacing w:before="0" w:after="0"/>
            </w:pPr>
            <w:r>
              <w:rPr>
                <w:b w:val="false"/>
                <w:bCs w:val="false"/>
                <w:color w:val="0A7A52"/>
                <w:sz w:val="19"/>
                <w:szCs w:val="19"/>
              </w:rPr>
              <w:t xml:space="preserve">[Required for High risk and PEPs]</w:t>
            </w:r>
          </w:p>
        </w:tc>
      </w:tr>
    </w:tbl>
    <w:p>
      <w:pPr>
        <w:spacing w:before="0" w:after="0"/>
      </w:pPr>
    </w:p>
    <w:tbl>
      <w:tblPr>
        <w:tblW w:type="dxa" w:w="9638"/>
        <w:tblBorders>
          <w:top w:val="none" w:color="FFFFFF" w:sz="0"/>
          <w:left w:val="single" w:color="0A7A52" w:sz="24"/>
          <w:bottom w:val="none" w:color="FFFFFF" w:sz="0"/>
          <w:right w:val="none" w:color="FFFFFF" w:sz="0"/>
          <w:insideH w:val="none" w:color="FFFFFF" w:sz="0"/>
          <w:insideV w:val="none" w:color="FFFFFF" w:sz="0"/>
        </w:tblBorders>
      </w:tblPr>
      <w:tblGrid>
        <w:gridCol w:w="9638"/>
      </w:tblGrid>
      <w:tr>
        <w:tc>
          <w:tcPr>
            <w:tcW w:type="dxa" w:w="9638"/>
            <w:shd w:fill="EEF6F2" w:color="auto" w:val="clear"/>
            <w:tcMar>
              <w:top w:type="dxa" w:w="110"/>
              <w:left w:type="dxa" w:w="180"/>
              <w:bottom w:type="dxa" w:w="110"/>
              <w:right w:type="dxa" w:w="160"/>
            </w:tcMar>
          </w:tcPr>
          <w:p>
            <w:pPr>
              <w:spacing w:before="0" w:after="0"/>
            </w:pPr>
            <w:r>
              <w:rPr>
                <w:b/>
                <w:bCs/>
                <w:color w:val="0E3B2C"/>
                <w:sz w:val="19"/>
                <w:szCs w:val="19"/>
              </w:rPr>
              <w:t xml:space="preserve">Guidance note: </w:t>
            </w:r>
            <w:r>
              <w:rPr>
                <w:sz w:val="19"/>
                <w:szCs w:val="19"/>
              </w:rPr>
              <w:t xml:space="preserve">If you cannot complete CDD, regulation 31 says you must not establish the relationship or carry out the transaction, must end any existing relationship, and must consider whether a suspicious activity report is required. Never tell the client that a report has been or may be made.</w:t>
            </w:r>
          </w:p>
        </w:tc>
      </w:tr>
    </w:tbl>
    <w:p>
      <w:pPr>
        <w:spacing w:before="0" w:after="0"/>
      </w:pPr>
    </w:p>
    <w:p>
      <w:pPr>
        <w:pStyle w:val="Heading1"/>
      </w:pPr>
      <w:r>
        <w:t xml:space="preserve">7. Review history</w:t>
      </w:r>
    </w:p>
    <w:tbl>
      <w:tblPr>
        <w:tblW w:type="dxa" w:w="9638"/>
        <w:tblBorders>
          <w:top w:val="single" w:color="C9D1CD" w:sz="4"/>
          <w:left w:val="single" w:color="C9D1CD" w:sz="4"/>
          <w:bottom w:val="single" w:color="C9D1CD" w:sz="4"/>
          <w:right w:val="single" w:color="C9D1CD" w:sz="4"/>
          <w:insideH w:val="single" w:color="C9D1CD" w:sz="4"/>
          <w:insideV w:val="single" w:color="C9D1CD" w:sz="4"/>
        </w:tblBorders>
      </w:tblPr>
      <w:tblGrid>
        <w:gridCol w:w="1928"/>
        <w:gridCol w:w="1928"/>
        <w:gridCol w:w="1928"/>
        <w:gridCol w:w="1928"/>
        <w:gridCol w:w="1928"/>
      </w:tblGrid>
      <w:tr>
        <w:trPr>
          <w:cantSplit/>
          <w:tblHeader/>
        </w:trPr>
        <w:tc>
          <w:tcPr>
            <w:tcW w:type="dxa" w:w="1928"/>
            <w:shd w:fill="0E3B2C" w:color="auto" w:val="clear"/>
            <w:tcMar>
              <w:top w:type="dxa" w:w="70"/>
              <w:left w:type="dxa" w:w="100"/>
              <w:bottom w:type="dxa" w:w="70"/>
              <w:right w:type="dxa" w:w="100"/>
            </w:tcMar>
          </w:tcPr>
          <w:p>
            <w:pPr>
              <w:spacing w:before="0" w:after="0"/>
            </w:pPr>
            <w:r>
              <w:rPr>
                <w:b/>
                <w:bCs/>
                <w:color w:val="FFFFFF"/>
                <w:sz w:val="19"/>
                <w:szCs w:val="19"/>
              </w:rPr>
              <w:t xml:space="preserve">Date</w:t>
            </w:r>
          </w:p>
        </w:tc>
        <w:tc>
          <w:tcPr>
            <w:tcW w:type="dxa" w:w="1928"/>
            <w:shd w:fill="0E3B2C" w:color="auto" w:val="clear"/>
            <w:tcMar>
              <w:top w:type="dxa" w:w="70"/>
              <w:left w:type="dxa" w:w="100"/>
              <w:bottom w:type="dxa" w:w="70"/>
              <w:right w:type="dxa" w:w="100"/>
            </w:tcMar>
          </w:tcPr>
          <w:p>
            <w:pPr>
              <w:spacing w:before="0" w:after="0"/>
            </w:pPr>
            <w:r>
              <w:rPr>
                <w:b/>
                <w:bCs/>
                <w:color w:val="FFFFFF"/>
                <w:sz w:val="19"/>
                <w:szCs w:val="19"/>
              </w:rPr>
              <w:t xml:space="preserve">Reason (periodic / trigger event)</w:t>
            </w:r>
          </w:p>
        </w:tc>
        <w:tc>
          <w:tcPr>
            <w:tcW w:type="dxa" w:w="1928"/>
            <w:shd w:fill="0E3B2C" w:color="auto" w:val="clear"/>
            <w:tcMar>
              <w:top w:type="dxa" w:w="70"/>
              <w:left w:type="dxa" w:w="100"/>
              <w:bottom w:type="dxa" w:w="70"/>
              <w:right w:type="dxa" w:w="100"/>
            </w:tcMar>
          </w:tcPr>
          <w:p>
            <w:pPr>
              <w:spacing w:before="0" w:after="0"/>
            </w:pPr>
            <w:r>
              <w:rPr>
                <w:b/>
                <w:bCs/>
                <w:color w:val="FFFFFF"/>
                <w:sz w:val="19"/>
                <w:szCs w:val="19"/>
              </w:rPr>
              <w:t xml:space="preserve">Changes found</w:t>
            </w:r>
          </w:p>
        </w:tc>
        <w:tc>
          <w:tcPr>
            <w:tcW w:type="dxa" w:w="1928"/>
            <w:shd w:fill="0E3B2C" w:color="auto" w:val="clear"/>
            <w:tcMar>
              <w:top w:type="dxa" w:w="70"/>
              <w:left w:type="dxa" w:w="100"/>
              <w:bottom w:type="dxa" w:w="70"/>
              <w:right w:type="dxa" w:w="100"/>
            </w:tcMar>
          </w:tcPr>
          <w:p>
            <w:pPr>
              <w:spacing w:before="0" w:after="0"/>
            </w:pPr>
            <w:r>
              <w:rPr>
                <w:b/>
                <w:bCs/>
                <w:color w:val="FFFFFF"/>
                <w:sz w:val="19"/>
                <w:szCs w:val="19"/>
              </w:rPr>
              <w:t xml:space="preserve">New rating</w:t>
            </w:r>
          </w:p>
        </w:tc>
        <w:tc>
          <w:tcPr>
            <w:tcW w:type="dxa" w:w="1928"/>
            <w:shd w:fill="0E3B2C" w:color="auto" w:val="clear"/>
            <w:tcMar>
              <w:top w:type="dxa" w:w="70"/>
              <w:left w:type="dxa" w:w="100"/>
              <w:bottom w:type="dxa" w:w="70"/>
              <w:right w:type="dxa" w:w="100"/>
            </w:tcMar>
          </w:tcPr>
          <w:p>
            <w:pPr>
              <w:spacing w:before="0" w:after="0"/>
            </w:pPr>
            <w:r>
              <w:rPr>
                <w:b/>
                <w:bCs/>
                <w:color w:val="FFFFFF"/>
                <w:sz w:val="19"/>
                <w:szCs w:val="19"/>
              </w:rPr>
              <w:t xml:space="preserve">Reviewed by</w:t>
            </w:r>
          </w:p>
        </w:tc>
      </w:tr>
      <w:tr>
        <w:trPr>
          <w:cantSplit/>
        </w:trPr>
        <w:tc>
          <w:tcPr>
            <w:tcW w:type="dxa" w:w="1928"/>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1928"/>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1928"/>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1928"/>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1928"/>
            <w:tcMar>
              <w:top w:type="dxa" w:w="70"/>
              <w:left w:type="dxa" w:w="100"/>
              <w:bottom w:type="dxa" w:w="70"/>
              <w:right w:type="dxa" w:w="100"/>
            </w:tcMar>
          </w:tcPr>
          <w:p>
            <w:pPr>
              <w:spacing w:before="0" w:after="0"/>
            </w:pPr>
            <w:r>
              <w:rPr>
                <w:b w:val="false"/>
                <w:bCs w:val="false"/>
                <w:color w:val="0A7A52"/>
                <w:sz w:val="19"/>
                <w:szCs w:val="19"/>
              </w:rPr>
              <w:t xml:space="preserve">[ ]</w:t>
            </w:r>
          </w:p>
        </w:tc>
      </w:tr>
      <w:tr>
        <w:trPr>
          <w:cantSplit/>
        </w:trPr>
        <w:tc>
          <w:tcPr>
            <w:tcW w:type="dxa" w:w="1928"/>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1928"/>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1928"/>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1928"/>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1928"/>
            <w:tcMar>
              <w:top w:type="dxa" w:w="70"/>
              <w:left w:type="dxa" w:w="100"/>
              <w:bottom w:type="dxa" w:w="70"/>
              <w:right w:type="dxa" w:w="100"/>
            </w:tcMar>
          </w:tcPr>
          <w:p>
            <w:pPr>
              <w:spacing w:before="0" w:after="0"/>
            </w:pPr>
            <w:r>
              <w:rPr>
                <w:b w:val="false"/>
                <w:bCs w:val="false"/>
                <w:color w:val="0A7A52"/>
                <w:sz w:val="19"/>
                <w:szCs w:val="19"/>
              </w:rPr>
              <w:t xml:space="preserve">[ ]</w:t>
            </w:r>
          </w:p>
        </w:tc>
      </w:tr>
      <w:tr>
        <w:trPr>
          <w:cantSplit/>
        </w:trPr>
        <w:tc>
          <w:tcPr>
            <w:tcW w:type="dxa" w:w="1928"/>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1928"/>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1928"/>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1928"/>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1928"/>
            <w:tcMar>
              <w:top w:type="dxa" w:w="70"/>
              <w:left w:type="dxa" w:w="100"/>
              <w:bottom w:type="dxa" w:w="70"/>
              <w:right w:type="dxa" w:w="100"/>
            </w:tcMar>
          </w:tcPr>
          <w:p>
            <w:pPr>
              <w:spacing w:before="0" w:after="0"/>
            </w:pPr>
            <w:r>
              <w:rPr>
                <w:b w:val="false"/>
                <w:bCs w:val="false"/>
                <w:color w:val="0A7A52"/>
                <w:sz w:val="19"/>
                <w:szCs w:val="19"/>
              </w:rPr>
              <w:t xml:space="preserve">[ ]</w:t>
            </w:r>
          </w:p>
        </w:tc>
      </w:tr>
    </w:tbl>
    <w:p>
      <w:pPr>
        <w:spacing w:before="0" w:after="0"/>
      </w:pPr>
    </w:p>
    <w:p>
      <w:pPr>
        <w:pStyle w:val="Heading2"/>
      </w:pPr>
      <w:r>
        <w:t xml:space="preserve">Sources</w:t>
      </w:r>
    </w:p>
    <w:p>
      <w:r>
        <w:rPr>
          <w:color w:val="5F6663"/>
          <w:sz w:val="18"/>
          <w:szCs w:val="18"/>
        </w:rPr>
        <w:t xml:space="preserve">Checked on 23 October 2026. Laws and guidance change: check the current versions before relying on this template.</w:t>
      </w:r>
    </w:p>
    <w:p>
      <w:pPr>
        <w:pStyle w:val="ListParagraph"/>
        <w:numPr>
          <w:ilvl w:val="0"/>
          <w:numId w:val="2"/>
        </w:numPr>
        <w:spacing w:after="60"/>
      </w:pPr>
      <w:r>
        <w:t xml:space="preserve">The Money Laundering, Terrorist Financing and Transfer of Funds (Information on the Payer) Regulations 2017 (SI 2017/692), as amended: legislation.gov.uk/uksi/2017/692</w:t>
      </w:r>
    </w:p>
    <w:p>
      <w:pPr>
        <w:pStyle w:val="ListParagraph"/>
        <w:numPr>
          <w:ilvl w:val="0"/>
          <w:numId w:val="2"/>
        </w:numPr>
        <w:spacing w:after="60"/>
      </w:pPr>
      <w:r>
        <w:t xml:space="preserve">The Money Laundering and Terrorist Financing (Amendment) Regulations 2026 (SI 2026/621): legislation.gov.uk/uksi/2026/621/made</w:t>
      </w:r>
    </w:p>
    <w:p>
      <w:pPr>
        <w:pStyle w:val="ListParagraph"/>
        <w:numPr>
          <w:ilvl w:val="0"/>
          <w:numId w:val="2"/>
        </w:numPr>
        <w:spacing w:after="60"/>
      </w:pPr>
      <w:r>
        <w:t xml:space="preserve">HMRC, Anti-money laundering guidance for supervised businesses (updated 13 October 2026): gov.uk/hmrc-internal-manuals/anti-money-laundering-guidance-for-supervised-businesses</w:t>
      </w:r>
    </w:p>
    <w:p>
      <w:pPr>
        <w:pStyle w:val="ListParagraph"/>
        <w:numPr>
          <w:ilvl w:val="0"/>
          <w:numId w:val="2"/>
        </w:numPr>
        <w:spacing w:after="60"/>
      </w:pPr>
      <w:r>
        <w:t xml:space="preserve">HMRC AMLG11300 to AMLG11700 (customer due diligence, identifying and verifying customers, ongoing monitoring, enhanced due diligence, source of funds and wealth, FATF call for action countries, PEPs, record keeping)</w:t>
      </w:r>
    </w:p>
    <w:p>
      <w:pPr>
        <w:pStyle w:val="ListParagraph"/>
        <w:numPr>
          <w:ilvl w:val="0"/>
          <w:numId w:val="2"/>
        </w:numPr>
        <w:spacing w:after="60"/>
      </w:pPr>
      <w:r>
        <w:t xml:space="preserve">CCAB, Anti-Money Laundering and Counter-Terrorist Financing Guidance for the Accountancy Sector 2026 (law as at 1 July 2026): ccab.org.uk</w:t>
      </w:r>
    </w:p>
    <w:p>
      <w:pPr>
        <w:pStyle w:val="ListParagraph"/>
        <w:numPr>
          <w:ilvl w:val="0"/>
          <w:numId w:val="2"/>
        </w:numPr>
        <w:spacing w:after="60"/>
      </w:pPr>
      <w:r>
        <w:t xml:space="preserve">Legal Sector Affinity Group, Anti-money laundering guidance for the legal sector 2025 (HM Treasury approved, effective 23 April 2025)</w:t>
      </w:r>
    </w:p>
    <w:p>
      <w:pPr>
        <w:pStyle w:val="ListParagraph"/>
        <w:numPr>
          <w:ilvl w:val="0"/>
          <w:numId w:val="2"/>
        </w:numPr>
        <w:spacing w:after="60"/>
      </w:pPr>
      <w:r>
        <w:t xml:space="preserve">FATF, High-risk jurisdictions subject to a call for action (check the latest publication): fatf-gafi.org</w:t>
      </w:r>
    </w:p>
    <w:sectPr>
      <w:headerReference w:type="default" r:id="rId6"/>
      <w:footerReference w:type="default" r:id="rId7"/>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left"/>
    </w:pPr>
    <w:r>
      <w:rPr>
        <w:color w:val="5F6663"/>
        <w:sz w:val="16"/>
        <w:szCs w:val="16"/>
      </w:rPr>
      <w:t xml:space="preserve">Client risk assessment form   |   </w:t>
    </w:r>
    <w:r>
      <w:rPr>
        <w:color w:val="5F6663"/>
        <w:sz w:val="16"/>
        <w:szCs w:val="16"/>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5F6663"/>
        <w:sz w:val="16"/>
        <w:szCs w:val="16"/>
      </w:rPr>
      <w:t xml:space="preserve">AML Buddy — free template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C2320"/>
        <w:sz w:val="20"/>
        <w:szCs w:val="20"/>
      </w:rPr>
    </w:rPrDefault>
    <w:pPrDefault>
      <w:pPr>
        <w:spacing w:after="12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itle">
    <w:name w:val="Title"/>
    <w:basedOn w:val="Normal"/>
    <w:next w:val="Normal"/>
    <w:pPr>
      <w:spacing w:after="80"/>
    </w:pPr>
    <w:rPr>
      <w:rFonts w:ascii="Arial" w:cs="Arial" w:eastAsia="Arial" w:hAnsi="Arial"/>
      <w:b/>
      <w:bCs/>
      <w:color w:val="0E3B2C"/>
      <w:sz w:val="44"/>
      <w:szCs w:val="44"/>
    </w:rPr>
  </w:style>
  <w:style w:type="paragraph" w:styleId="Heading1">
    <w:name w:val="Heading 1"/>
    <w:basedOn w:val="Normal"/>
    <w:next w:val="Normal"/>
    <w:qFormat/>
    <w:pPr>
      <w:keepNext/>
      <w:spacing w:before="360" w:after="140"/>
    </w:pPr>
    <w:rPr>
      <w:rFonts w:ascii="Arial" w:cs="Arial" w:eastAsia="Arial" w:hAnsi="Arial"/>
      <w:b/>
      <w:bCs/>
      <w:color w:val="0E3B2C"/>
      <w:sz w:val="30"/>
      <w:szCs w:val="30"/>
    </w:rPr>
  </w:style>
  <w:style w:type="paragraph" w:styleId="Heading2">
    <w:name w:val="Heading 2"/>
    <w:basedOn w:val="Normal"/>
    <w:next w:val="Normal"/>
    <w:qFormat/>
    <w:pPr>
      <w:keepNext/>
      <w:spacing w:before="280" w:after="100"/>
    </w:pPr>
    <w:rPr>
      <w:rFonts w:ascii="Arial" w:cs="Arial" w:eastAsia="Arial" w:hAnsi="Arial"/>
      <w:b/>
      <w:bCs/>
      <w:color w:val="0E3B2C"/>
      <w:sz w:val="25"/>
      <w:szCs w:val="25"/>
    </w:rPr>
  </w:style>
  <w:style w:type="paragraph" w:styleId="Heading3">
    <w:name w:val="Heading 3"/>
    <w:basedOn w:val="Normal"/>
    <w:next w:val="Normal"/>
    <w:qFormat/>
    <w:pPr>
      <w:keepNext/>
      <w:spacing w:before="200" w:after="80"/>
    </w:pPr>
    <w:rPr>
      <w:rFonts w:ascii="Arial" w:cs="Arial" w:eastAsia="Arial" w:hAnsi="Arial"/>
      <w:b/>
      <w:bCs/>
      <w:color w:val="0A7A52"/>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Client risk assessment form</dc:title>
  <dc:creator>AML Buddy</dc:creator>
  <dc:description>One form per client or matter: CDD level, mandatory enhanced due diligence triggers, PEPs, high-risk countries and source of funds (MLR 2017 regulations 28, 33 and 35)</dc:description>
  <cp:lastModifiedBy>Un-named</cp:lastModifiedBy>
  <cp:revision>1</cp:revision>
  <dcterms:created xsi:type="dcterms:W3CDTF">2026-10-23T18:27:28.350Z</dcterms:created>
  <dcterms:modified xsi:type="dcterms:W3CDTF">2026-10-23T18:27:28.350Z</dcterms:modified>
</cp:coreProperties>
</file>

<file path=docProps/custom.xml><?xml version="1.0" encoding="utf-8"?>
<Properties xmlns="http://schemas.openxmlformats.org/officeDocument/2006/custom-properties" xmlns:vt="http://schemas.openxmlformats.org/officeDocument/2006/docPropsVTypes"/>
</file>