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Customer due diligence (CDD) checklist</w:t>
      </w:r>
    </w:p>
    <w:p>
      <w:pPr>
        <w:spacing w:after="240"/>
      </w:pPr>
      <w:r>
        <w:rPr>
          <w:color w:val="5F6663"/>
          <w:sz w:val="24"/>
          <w:szCs w:val="24"/>
        </w:rPr>
        <w:t xml:space="preserve">Per-client checklist for individuals, companies and trusts, with screening, ongoing monitoring and five-year record keeping (MLR 2017 regulations 27, 28, 30A, 31, 33 and 40)</w:t>
      </w:r>
    </w:p>
    <w:tbl>
      <w:tblPr>
        <w:tblW w:type="dxa" w:w="9638"/>
        <w:tblBorders>
          <w:top w:val="none" w:color="FFFFFF" w:sz="0"/>
          <w:left w:val="single" w:color="0E3B2C" w:sz="24"/>
          <w:bottom w:val="none" w:color="FFFFFF" w:sz="0"/>
          <w:right w:val="none" w:color="FFFFFF" w:sz="0"/>
          <w:insideH w:val="none" w:color="FFFFFF" w:sz="0"/>
          <w:insideV w:val="none" w:color="FFFFFF" w:sz="0"/>
        </w:tblBorders>
      </w:tblPr>
      <w:tblGrid>
        <w:gridCol w:w="9638"/>
      </w:tblGrid>
      <w:tr>
        <w:tc>
          <w:tcPr>
            <w:tcW w:type="dxa" w:w="9638"/>
            <w:shd w:fill="F4F5F4" w:color="auto" w:val="clear"/>
            <w:tcMar>
              <w:top w:type="dxa" w:w="110"/>
              <w:left w:type="dxa" w:w="180"/>
              <w:bottom w:type="dxa" w:w="110"/>
              <w:right w:type="dxa" w:w="160"/>
            </w:tcMar>
          </w:tcPr>
          <w:p>
            <w:pPr>
              <w:spacing w:before="0" w:after="0"/>
            </w:pPr>
            <w:r>
              <w:rPr>
                <w:b/>
                <w:bCs/>
                <w:color w:val="0E3B2C"/>
                <w:sz w:val="19"/>
                <w:szCs w:val="19"/>
              </w:rPr>
              <w:t xml:space="preserve">Important: </w:t>
            </w:r>
            <w:r>
              <w:rPr>
                <w:sz w:val="19"/>
                <w:szCs w:val="19"/>
              </w:rPr>
              <w:t xml:space="preserve">This is a template to adapt, not legal advice. It reflects the Money Laundering Regulations 2017 as amended (including SI 2026/621, in force from 30 June 2026) and supervisor guidance published by 23 October 2026. Before you use it, check it against your AML supervisor’s current guidance (for example HMRC’s anti-money laundering guidance for supervised businesses, the CCAB guidance for the accountancy sector 2026 or the LSAG guidance 2025), adapt it to your own business and delete the guidance notes. Your firm remains responsible for its own compliance. Provided free, as is, without warranty.</w:t>
            </w:r>
          </w:p>
        </w:tc>
      </w:tr>
    </w:tbl>
    <w:p>
      <w:pPr>
        <w:spacing w:before="0" w:after="0"/>
      </w:pPr>
    </w:p>
    <w:p>
      <w:pPr>
        <w:pStyle w:val="Heading2"/>
      </w:pPr>
      <w:r>
        <w:t xml:space="preserve">How to use this template</w:t>
      </w:r>
    </w:p>
    <w:p>
      <w:pPr>
        <w:pStyle w:val="ListParagraph"/>
        <w:numPr>
          <w:ilvl w:val="0"/>
          <w:numId w:val="2"/>
        </w:numPr>
        <w:spacing w:after="60"/>
      </w:pPr>
      <w:r>
        <w:t xml:space="preserve">Replace every </w:t>
      </w:r>
      <w:r>
        <w:rPr>
          <w:color w:val="0A7A52"/>
        </w:rPr>
        <w:t xml:space="preserve">[square-bracket placeholder]</w:t>
      </w:r>
      <w:r>
        <w:t xml:space="preserve"> with your firm’s details. Delete options that do not apply.</w:t>
      </w:r>
    </w:p>
    <w:p>
      <w:pPr>
        <w:pStyle w:val="ListParagraph"/>
        <w:numPr>
          <w:ilvl w:val="0"/>
          <w:numId w:val="2"/>
        </w:numPr>
        <w:spacing w:after="60"/>
      </w:pPr>
      <w:r>
        <w:t xml:space="preserve">Read and then delete the shaded guidance notes before you finalise the document.</w:t>
      </w:r>
    </w:p>
    <w:p>
      <w:pPr>
        <w:pStyle w:val="ListParagraph"/>
        <w:numPr>
          <w:ilvl w:val="0"/>
          <w:numId w:val="2"/>
        </w:numPr>
        <w:spacing w:after="60"/>
      </w:pPr>
      <w:r>
        <w:t xml:space="preserve">Make it describe what your firm actually does. A supervisor will test your day-to-day practice against it, and a generic copy-and-paste document is a common inspection finding.</w:t>
      </w:r>
    </w:p>
    <w:p>
      <w:pPr>
        <w:pStyle w:val="ListParagraph"/>
        <w:numPr>
          <w:ilvl w:val="0"/>
          <w:numId w:val="2"/>
        </w:numPr>
        <w:spacing w:after="60"/>
      </w:pPr>
      <w:r>
        <w:t xml:space="preserve">Complete Part A, then the part for your client type (B, C or D), then Parts E to H.</w:t>
      </w:r>
    </w:p>
    <w:p>
      <w:pPr>
        <w:pStyle w:val="ListParagraph"/>
        <w:numPr>
          <w:ilvl w:val="0"/>
          <w:numId w:val="2"/>
        </w:numPr>
        <w:spacing w:after="60"/>
      </w:pPr>
      <w:r>
        <w:t xml:space="preserve">Complete the client risk assessment form at the same time: it decides whether you need the enhanced steps in Part F.</w:t>
      </w:r>
    </w:p>
    <w:p>
      <w:pPr>
        <w:pStyle w:val="Heading1"/>
      </w:pPr>
      <w:r>
        <w:t xml:space="preserve">Part A. Client and matter</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Client name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Client type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[Individual / company or LLP / trust / other]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Matter or service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Why CDD is needed now (regulation 27)</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[New business relationship / occasional transaction of £12,000 or more / suspicion / doubt about earlier information / change in circumstances / periodic review]</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Purpose and intended nature of the relationship (regulation 28(2)(c))</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Risk rating from client risk assessment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[Low / Medium / High]</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CDD completed before relationship established?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[Yes / No: explain, regulation 30]</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Completed by,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1"/>
      </w:pPr>
      <w:r>
        <w:t xml:space="preserve">Part B. Individual (and sole trader)</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855"/>
        <w:gridCol w:w="4926"/>
        <w:gridCol w:w="857"/>
      </w:tblGrid>
      <w:tr>
        <w:trPr>
          <w:cantSplit/>
          <w:tblHeader/>
        </w:trPr>
        <w:tc>
          <w:tcPr>
            <w:tcW w:type="dxa" w:w="3855"/>
            <w:shd w:fill="0E3B2C" w:color="auto" w:val="clear"/>
            <w:tcMar>
              <w:top w:type="dxa" w:w="70"/>
              <w:left w:type="dxa" w:w="100"/>
              <w:bottom w:type="dxa" w:w="70"/>
              <w:right w:type="dxa" w:w="100"/>
            </w:tcMar>
          </w:tcPr>
          <w:p>
            <w:pPr>
              <w:spacing w:before="0" w:after="0"/>
            </w:pPr>
            <w:r>
              <w:rPr>
                <w:b/>
                <w:bCs/>
                <w:color w:val="FFFFFF"/>
                <w:sz w:val="19"/>
                <w:szCs w:val="19"/>
              </w:rPr>
              <w:t xml:space="preserve">Requirement</w:t>
            </w:r>
          </w:p>
        </w:tc>
        <w:tc>
          <w:tcPr>
            <w:tcW w:type="dxa" w:w="4926"/>
            <w:shd w:fill="0E3B2C" w:color="auto" w:val="clear"/>
            <w:tcMar>
              <w:top w:type="dxa" w:w="70"/>
              <w:left w:type="dxa" w:w="100"/>
              <w:bottom w:type="dxa" w:w="70"/>
              <w:right w:type="dxa" w:w="100"/>
            </w:tcMar>
          </w:tcPr>
          <w:p>
            <w:pPr>
              <w:spacing w:before="0" w:after="0"/>
            </w:pPr>
            <w:r>
              <w:rPr>
                <w:b/>
                <w:bCs/>
                <w:color w:val="FFFFFF"/>
                <w:sz w:val="19"/>
                <w:szCs w:val="19"/>
              </w:rPr>
              <w:t xml:space="preserve">Evidence seen (document, source, date)</w:t>
            </w:r>
          </w:p>
        </w:tc>
        <w:tc>
          <w:tcPr>
            <w:tcW w:type="dxa" w:w="857"/>
            <w:shd w:fill="0E3B2C" w:color="auto" w:val="clear"/>
            <w:tcMar>
              <w:top w:type="dxa" w:w="70"/>
              <w:left w:type="dxa" w:w="100"/>
              <w:bottom w:type="dxa" w:w="70"/>
              <w:right w:type="dxa" w:w="100"/>
            </w:tcMar>
          </w:tcPr>
          <w:p>
            <w:pPr>
              <w:spacing w:before="0" w:after="0"/>
            </w:pPr>
            <w:r>
              <w:rPr>
                <w:b/>
                <w:bCs/>
                <w:color w:val="FFFFFF"/>
                <w:sz w:val="19"/>
                <w:szCs w:val="19"/>
              </w:rPr>
              <w:t xml:space="preserve">Done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Full name (and any previous names)</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Date of birth</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Residential address</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Identity verified: passport, photocard driving licence or national ID card, checked for validity and likeness, or electronic verification</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Address verified: recent utility bill, bank statement, council tax bill or electronic check</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Sole trader: trading name and business address</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Person acting on the client’s behalf (attorney, deputy, executor): identity verified and authority to act seen (regulation 28(10))</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bl>
    <w:p>
      <w:pPr>
        <w:spacing w:before="0" w:after="0"/>
      </w:pPr>
    </w:p>
    <w:p>
      <w:pPr>
        <w:spacing w:after="120"/>
      </w:pPr>
      <w:r>
        <w:t xml:space="preserve">If you want to run electronic ID and screening checks, you can use a provider of your choice; for example, AML Buddy (amlbuddy.com) sends the client a secure link for ID document and selfie verification, address matching, sanctions, PEP and adverse media screening, and produces a timestamped report for your file.</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Verification must be based on documents or information from a reliable source independent of the client (regulation 28(18)). If you use an electronic provider, HMRC expects it to be on the government’s DVS register (AMLG11400, section 14.5). Record which provider and keep its report.</w:t>
            </w:r>
          </w:p>
        </w:tc>
      </w:tr>
    </w:tbl>
    <w:p>
      <w:pPr>
        <w:spacing w:before="0" w:after="0"/>
      </w:pPr>
    </w:p>
    <w:p>
      <w:pPr>
        <w:pStyle w:val="Heading1"/>
      </w:pPr>
      <w:r>
        <w:t xml:space="preserve">Part C. Company, LLP or partnership</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855"/>
        <w:gridCol w:w="4926"/>
        <w:gridCol w:w="857"/>
      </w:tblGrid>
      <w:tr>
        <w:trPr>
          <w:cantSplit/>
          <w:tblHeader/>
        </w:trPr>
        <w:tc>
          <w:tcPr>
            <w:tcW w:type="dxa" w:w="3855"/>
            <w:shd w:fill="0E3B2C" w:color="auto" w:val="clear"/>
            <w:tcMar>
              <w:top w:type="dxa" w:w="70"/>
              <w:left w:type="dxa" w:w="100"/>
              <w:bottom w:type="dxa" w:w="70"/>
              <w:right w:type="dxa" w:w="100"/>
            </w:tcMar>
          </w:tcPr>
          <w:p>
            <w:pPr>
              <w:spacing w:before="0" w:after="0"/>
            </w:pPr>
            <w:r>
              <w:rPr>
                <w:b/>
                <w:bCs/>
                <w:color w:val="FFFFFF"/>
                <w:sz w:val="19"/>
                <w:szCs w:val="19"/>
              </w:rPr>
              <w:t xml:space="preserve">Requirement</w:t>
            </w:r>
          </w:p>
        </w:tc>
        <w:tc>
          <w:tcPr>
            <w:tcW w:type="dxa" w:w="4926"/>
            <w:shd w:fill="0E3B2C" w:color="auto" w:val="clear"/>
            <w:tcMar>
              <w:top w:type="dxa" w:w="70"/>
              <w:left w:type="dxa" w:w="100"/>
              <w:bottom w:type="dxa" w:w="70"/>
              <w:right w:type="dxa" w:w="100"/>
            </w:tcMar>
          </w:tcPr>
          <w:p>
            <w:pPr>
              <w:spacing w:before="0" w:after="0"/>
            </w:pPr>
            <w:r>
              <w:rPr>
                <w:b/>
                <w:bCs/>
                <w:color w:val="FFFFFF"/>
                <w:sz w:val="19"/>
                <w:szCs w:val="19"/>
              </w:rPr>
              <w:t xml:space="preserve">Evidence seen (document, source, date)</w:t>
            </w:r>
          </w:p>
        </w:tc>
        <w:tc>
          <w:tcPr>
            <w:tcW w:type="dxa" w:w="857"/>
            <w:shd w:fill="0E3B2C" w:color="auto" w:val="clear"/>
            <w:tcMar>
              <w:top w:type="dxa" w:w="70"/>
              <w:left w:type="dxa" w:w="100"/>
              <w:bottom w:type="dxa" w:w="70"/>
              <w:right w:type="dxa" w:w="100"/>
            </w:tcMar>
          </w:tcPr>
          <w:p>
            <w:pPr>
              <w:spacing w:before="0" w:after="0"/>
            </w:pPr>
            <w:r>
              <w:rPr>
                <w:b/>
                <w:bCs/>
                <w:color w:val="FFFFFF"/>
                <w:sz w:val="19"/>
                <w:szCs w:val="19"/>
              </w:rPr>
              <w:t xml:space="preserve">Done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Name, registration number, registered office and principal place of business (regulation 28(3)(a))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Companies House record or certificate of incorporation, checked on </w:t>
            </w:r>
            <w:r>
              <w:rPr>
                <w:b w:val="false"/>
                <w:bCs w:val="false"/>
                <w:color w:val="0A7A52"/>
                <w:sz w:val="19"/>
                <w:szCs w:val="19"/>
              </w:rPr>
              <w:t xml:space="preserve">[date]</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Law the company is subject to, its constitution and the full names of the board and senior persons responsible for operations (regulation 28(3)(b)), on a risk basis</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Ownership and control structure understood and recorded, with a diagram if more than one layer (regulation 28(3A))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Beneficial owners identified: anyone owning or controlling more than 25% of shares or voting rights, or otherwise exercising control (regulation 5)</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Beneficial owners verified using our own measures, not only the Companies House register (regulation 28(4), (9))</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If no beneficial owner can be identified: senior managing official recorded as beneficial owner, steps taken and difficulties recorded (regulation 28(6) to (8))</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PSC register checked before the relationship starts, and any material discrepancy reported to Companies House (regulation 30A)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Person giving instructions: identity verified and authority to act seen (regulation 28(10))</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Listed on a regulated market? If yes, beneficial owner steps may not apply (regulation 28(5)): record evidence</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bl>
    <w:p>
      <w:pPr>
        <w:spacing w:before="0" w:after="0"/>
      </w:pPr>
    </w:p>
    <w:p>
      <w:pPr>
        <w:pStyle w:val="Heading1"/>
      </w:pPr>
      <w:r>
        <w:t xml:space="preserve">Part D. Trust or similar arrangement</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855"/>
        <w:gridCol w:w="4926"/>
        <w:gridCol w:w="857"/>
      </w:tblGrid>
      <w:tr>
        <w:trPr>
          <w:cantSplit/>
          <w:tblHeader/>
        </w:trPr>
        <w:tc>
          <w:tcPr>
            <w:tcW w:type="dxa" w:w="3855"/>
            <w:shd w:fill="0E3B2C" w:color="auto" w:val="clear"/>
            <w:tcMar>
              <w:top w:type="dxa" w:w="70"/>
              <w:left w:type="dxa" w:w="100"/>
              <w:bottom w:type="dxa" w:w="70"/>
              <w:right w:type="dxa" w:w="100"/>
            </w:tcMar>
          </w:tcPr>
          <w:p>
            <w:pPr>
              <w:spacing w:before="0" w:after="0"/>
            </w:pPr>
            <w:r>
              <w:rPr>
                <w:b/>
                <w:bCs/>
                <w:color w:val="FFFFFF"/>
                <w:sz w:val="19"/>
                <w:szCs w:val="19"/>
              </w:rPr>
              <w:t xml:space="preserve">Requirement</w:t>
            </w:r>
          </w:p>
        </w:tc>
        <w:tc>
          <w:tcPr>
            <w:tcW w:type="dxa" w:w="4926"/>
            <w:shd w:fill="0E3B2C" w:color="auto" w:val="clear"/>
            <w:tcMar>
              <w:top w:type="dxa" w:w="70"/>
              <w:left w:type="dxa" w:w="100"/>
              <w:bottom w:type="dxa" w:w="70"/>
              <w:right w:type="dxa" w:w="100"/>
            </w:tcMar>
          </w:tcPr>
          <w:p>
            <w:pPr>
              <w:spacing w:before="0" w:after="0"/>
            </w:pPr>
            <w:r>
              <w:rPr>
                <w:b/>
                <w:bCs/>
                <w:color w:val="FFFFFF"/>
                <w:sz w:val="19"/>
                <w:szCs w:val="19"/>
              </w:rPr>
              <w:t xml:space="preserve">Evidence seen (document, source, date)</w:t>
            </w:r>
          </w:p>
        </w:tc>
        <w:tc>
          <w:tcPr>
            <w:tcW w:type="dxa" w:w="857"/>
            <w:shd w:fill="0E3B2C" w:color="auto" w:val="clear"/>
            <w:tcMar>
              <w:top w:type="dxa" w:w="70"/>
              <w:left w:type="dxa" w:w="100"/>
              <w:bottom w:type="dxa" w:w="70"/>
              <w:right w:type="dxa" w:w="100"/>
            </w:tcMar>
          </w:tcPr>
          <w:p>
            <w:pPr>
              <w:spacing w:before="0" w:after="0"/>
            </w:pPr>
            <w:r>
              <w:rPr>
                <w:b/>
                <w:bCs/>
                <w:color w:val="FFFFFF"/>
                <w:sz w:val="19"/>
                <w:szCs w:val="19"/>
              </w:rPr>
              <w:t xml:space="preserve">Done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Name of trust, date and type; trust deed or extract seen</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Settlor(s) identified and verified on a risk basis</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Trustee(s) identified and verified</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Beneficiaries, or the class of beneficiaries, identified</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Protector and any other person exercising effective control identified</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Control structure understood (regulation 28(3A))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Trust Registration Service: proof of registration or excerpt obtained where the trust is registrable, and any material discrepancy reported to HMRC (regulation 30A)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bl>
    <w:p>
      <w:pPr>
        <w:spacing w:before="0" w:after="0"/>
      </w:pPr>
    </w:p>
    <w:p>
      <w:pPr>
        <w:pStyle w:val="Heading1"/>
      </w:pPr>
      <w:r>
        <w:t xml:space="preserve">Part E. Screening</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855"/>
        <w:gridCol w:w="4926"/>
        <w:gridCol w:w="857"/>
      </w:tblGrid>
      <w:tr>
        <w:trPr>
          <w:cantSplit/>
          <w:tblHeader/>
        </w:trPr>
        <w:tc>
          <w:tcPr>
            <w:tcW w:type="dxa" w:w="3855"/>
            <w:shd w:fill="0E3B2C" w:color="auto" w:val="clear"/>
            <w:tcMar>
              <w:top w:type="dxa" w:w="70"/>
              <w:left w:type="dxa" w:w="100"/>
              <w:bottom w:type="dxa" w:w="70"/>
              <w:right w:type="dxa" w:w="100"/>
            </w:tcMar>
          </w:tcPr>
          <w:p>
            <w:pPr>
              <w:spacing w:before="0" w:after="0"/>
            </w:pPr>
            <w:r>
              <w:rPr>
                <w:b/>
                <w:bCs/>
                <w:color w:val="FFFFFF"/>
                <w:sz w:val="19"/>
                <w:szCs w:val="19"/>
              </w:rPr>
              <w:t xml:space="preserve">Check</w:t>
            </w:r>
          </w:p>
        </w:tc>
        <w:tc>
          <w:tcPr>
            <w:tcW w:type="dxa" w:w="4926"/>
            <w:shd w:fill="0E3B2C" w:color="auto" w:val="clear"/>
            <w:tcMar>
              <w:top w:type="dxa" w:w="70"/>
              <w:left w:type="dxa" w:w="100"/>
              <w:bottom w:type="dxa" w:w="70"/>
              <w:right w:type="dxa" w:w="100"/>
            </w:tcMar>
          </w:tcPr>
          <w:p>
            <w:pPr>
              <w:spacing w:before="0" w:after="0"/>
            </w:pPr>
            <w:r>
              <w:rPr>
                <w:b/>
                <w:bCs/>
                <w:color w:val="FFFFFF"/>
                <w:sz w:val="19"/>
                <w:szCs w:val="19"/>
              </w:rPr>
              <w:t xml:space="preserve">Result and date</w:t>
            </w:r>
          </w:p>
        </w:tc>
        <w:tc>
          <w:tcPr>
            <w:tcW w:type="dxa" w:w="857"/>
            <w:shd w:fill="0E3B2C" w:color="auto" w:val="clear"/>
            <w:tcMar>
              <w:top w:type="dxa" w:w="70"/>
              <w:left w:type="dxa" w:w="100"/>
              <w:bottom w:type="dxa" w:w="70"/>
              <w:right w:type="dxa" w:w="100"/>
            </w:tcMar>
          </w:tcPr>
          <w:p>
            <w:pPr>
              <w:spacing w:before="0" w:after="0"/>
            </w:pPr>
            <w:r>
              <w:rPr>
                <w:b/>
                <w:bCs/>
                <w:color w:val="FFFFFF"/>
                <w:sz w:val="19"/>
                <w:szCs w:val="19"/>
              </w:rPr>
              <w:t xml:space="preserve">Done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UK sanctions list (client, beneficial owners, persons acting): a match means stop and refer to the nominated officer</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PEP, family member and known close associate screening</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Adverse media</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Country checks: FATF call for action list (version dated </w:t>
            </w:r>
            <w:r>
              <w:rPr>
                <w:b w:val="false"/>
                <w:bCs w:val="false"/>
                <w:color w:val="0A7A52"/>
                <w:sz w:val="19"/>
                <w:szCs w:val="19"/>
              </w:rPr>
              <w:t xml:space="preserve">[ ]</w:t>
            </w:r>
            <w:r>
              <w:rPr>
                <w:b w:val="false"/>
                <w:bCs w:val="false"/>
                <w:sz w:val="19"/>
                <w:szCs w:val="19"/>
              </w:rPr>
              <w:t xml:space="preserve">) and our own high-risk country list</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r>
        <w:trPr>
          <w:cantSplit/>
        </w:trPr>
        <w:tc>
          <w:tcPr>
            <w:tcW w:type="dxa" w:w="3855"/>
            <w:tcMar>
              <w:top w:type="dxa" w:w="70"/>
              <w:left w:type="dxa" w:w="100"/>
              <w:bottom w:type="dxa" w:w="70"/>
              <w:right w:type="dxa" w:w="100"/>
            </w:tcMar>
          </w:tcPr>
          <w:p>
            <w:pPr>
              <w:spacing w:before="0" w:after="0"/>
            </w:pPr>
            <w:r>
              <w:rPr>
                <w:b w:val="false"/>
                <w:bCs w:val="false"/>
                <w:sz w:val="19"/>
                <w:szCs w:val="19"/>
              </w:rPr>
              <w:t xml:space="preserve">Matches reviewed, false positives discounted with reasons recorded</w:t>
            </w:r>
          </w:p>
        </w:tc>
        <w:tc>
          <w:tcPr>
            <w:tcW w:type="dxa" w:w="492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857"/>
            <w:tcMar>
              <w:top w:type="dxa" w:w="70"/>
              <w:left w:type="dxa" w:w="100"/>
              <w:bottom w:type="dxa" w:w="70"/>
              <w:right w:type="dxa" w:w="100"/>
            </w:tcMar>
          </w:tcPr>
          <w:p>
            <w:pPr>
              <w:spacing w:before="0" w:after="0"/>
            </w:pPr>
            <w:r>
              <w:rPr>
                <w:b w:val="false"/>
                <w:bCs w:val="false"/>
                <w:sz w:val="19"/>
                <w:szCs w:val="19"/>
              </w:rPr>
              <w:t xml:space="preserve">☐</w:t>
            </w:r>
          </w:p>
        </w:tc>
      </w:tr>
    </w:tbl>
    <w:p>
      <w:pPr>
        <w:spacing w:before="0" w:after="0"/>
      </w:pPr>
    </w:p>
    <w:p>
      <w:pPr>
        <w:pStyle w:val="Heading1"/>
      </w:pPr>
      <w:r>
        <w:t xml:space="preserve">Part F. Enhanced due diligence (if required)</w:t>
      </w:r>
    </w:p>
    <w:p>
      <w:pPr>
        <w:tabs>
          <w:tab w:val="left" w:pos="400"/>
        </w:tabs>
        <w:spacing w:after="70"/>
        <w:ind w:left="400" w:hanging="400"/>
      </w:pPr>
      <w:r>
        <w:t xml:space="preserve">☐</w:t>
      </w:r>
      <w:r>
        <w:t xml:space="preserve">	</w:t>
      </w:r>
      <w:r>
        <w:t xml:space="preserve">Trigger(s) recorded on the client risk assessment form</w:t>
      </w:r>
    </w:p>
    <w:p>
      <w:pPr>
        <w:tabs>
          <w:tab w:val="left" w:pos="400"/>
        </w:tabs>
        <w:spacing w:after="70"/>
        <w:ind w:left="400" w:hanging="400"/>
      </w:pPr>
      <w:r>
        <w:t xml:space="preserve">☐</w:t>
      </w:r>
      <w:r>
        <w:t xml:space="preserve">	</w:t>
      </w:r>
      <w:r>
        <w:t xml:space="preserve">Source of funds: explanation and evidence on file</w:t>
      </w:r>
    </w:p>
    <w:p>
      <w:pPr>
        <w:tabs>
          <w:tab w:val="left" w:pos="400"/>
        </w:tabs>
        <w:spacing w:after="70"/>
        <w:ind w:left="400" w:hanging="400"/>
      </w:pPr>
      <w:r>
        <w:t xml:space="preserve">☐</w:t>
      </w:r>
      <w:r>
        <w:t xml:space="preserve">	</w:t>
      </w:r>
      <w:r>
        <w:t xml:space="preserve">Source of wealth: explanation and evidence on file (required for PEPs and FATF call for action country cases)</w:t>
      </w:r>
    </w:p>
    <w:p>
      <w:pPr>
        <w:tabs>
          <w:tab w:val="left" w:pos="400"/>
        </w:tabs>
        <w:spacing w:after="70"/>
        <w:ind w:left="400" w:hanging="400"/>
      </w:pPr>
      <w:r>
        <w:t xml:space="preserve">☐</w:t>
      </w:r>
      <w:r>
        <w:t xml:space="preserve">	</w:t>
      </w:r>
      <w:r>
        <w:t xml:space="preserve">Additional information on the client, beneficial owners and the reasons for the transaction</w:t>
      </w:r>
    </w:p>
    <w:p>
      <w:pPr>
        <w:tabs>
          <w:tab w:val="left" w:pos="400"/>
        </w:tabs>
        <w:spacing w:after="70"/>
        <w:ind w:left="400" w:hanging="400"/>
      </w:pPr>
      <w:r>
        <w:t xml:space="preserve">☐</w:t>
      </w:r>
      <w:r>
        <w:t xml:space="preserve">	</w:t>
      </w:r>
      <w:r>
        <w:t xml:space="preserve">Senior management approval obtained before acting: name </w:t>
      </w:r>
      <w:r>
        <w:rPr>
          <w:color w:val="0A7A52"/>
        </w:rPr>
        <w:t xml:space="preserve">[ ]</w:t>
      </w:r>
      <w:r>
        <w:t xml:space="preserve">, date </w:t>
      </w:r>
      <w:r>
        <w:rPr>
          <w:color w:val="0A7A52"/>
        </w:rPr>
        <w:t xml:space="preserve">[ ]</w:t>
      </w:r>
    </w:p>
    <w:p>
      <w:pPr>
        <w:tabs>
          <w:tab w:val="left" w:pos="400"/>
        </w:tabs>
        <w:spacing w:after="70"/>
        <w:ind w:left="400" w:hanging="400"/>
      </w:pPr>
      <w:r>
        <w:t xml:space="preserve">☐</w:t>
      </w:r>
      <w:r>
        <w:t xml:space="preserve">	</w:t>
      </w:r>
      <w:r>
        <w:t xml:space="preserve">Enhanced ongoing monitoring arranged: </w:t>
      </w:r>
      <w:r>
        <w:rPr>
          <w:color w:val="0A7A52"/>
        </w:rPr>
        <w:t xml:space="preserve">[frequency, what will be checked]</w:t>
      </w:r>
    </w:p>
    <w:p>
      <w:pPr>
        <w:pStyle w:val="Heading1"/>
      </w:pPr>
      <w:r>
        <w:t xml:space="preserve">Part G. Ongoing monitoring (regulation 28(11))</w:t>
      </w:r>
    </w:p>
    <w:p>
      <w:pPr>
        <w:tabs>
          <w:tab w:val="left" w:pos="400"/>
        </w:tabs>
        <w:spacing w:after="70"/>
        <w:ind w:left="400" w:hanging="400"/>
      </w:pPr>
      <w:r>
        <w:t xml:space="preserve">☐</w:t>
      </w:r>
      <w:r>
        <w:t xml:space="preserve">	</w:t>
      </w:r>
      <w:r>
        <w:t xml:space="preserve">Transactions and instructions scrutinised during the relationship to check they fit what we know about the client, including source of funds</w:t>
      </w:r>
    </w:p>
    <w:p>
      <w:pPr>
        <w:tabs>
          <w:tab w:val="left" w:pos="400"/>
        </w:tabs>
        <w:spacing w:after="70"/>
        <w:ind w:left="400" w:hanging="400"/>
      </w:pPr>
      <w:r>
        <w:t xml:space="preserve">☐</w:t>
      </w:r>
      <w:r>
        <w:t xml:space="preserve">	</w:t>
      </w:r>
      <w:r>
        <w:t xml:space="preserve">Documents and information kept up to date; changes in ownership, directors, address or circumstances recorded</w:t>
      </w:r>
    </w:p>
    <w:p>
      <w:pPr>
        <w:tabs>
          <w:tab w:val="left" w:pos="400"/>
        </w:tabs>
        <w:spacing w:after="70"/>
        <w:ind w:left="400" w:hanging="400"/>
      </w:pPr>
      <w:r>
        <w:t xml:space="preserve">☐</w:t>
      </w:r>
      <w:r>
        <w:t xml:space="preserve">	</w:t>
      </w:r>
      <w:r>
        <w:t xml:space="preserve">Client re-screened </w:t>
      </w:r>
      <w:r>
        <w:rPr>
          <w:color w:val="0A7A52"/>
        </w:rPr>
        <w:t xml:space="preserve">[continuously / at each key stage / at each review]</w:t>
      </w:r>
    </w:p>
    <w:p>
      <w:pPr>
        <w:tabs>
          <w:tab w:val="left" w:pos="400"/>
        </w:tabs>
        <w:spacing w:after="70"/>
        <w:ind w:left="400" w:hanging="400"/>
      </w:pPr>
      <w:r>
        <w:t xml:space="preserve">☐</w:t>
      </w:r>
      <w:r>
        <w:t xml:space="preserve">	</w:t>
      </w:r>
      <w:r>
        <w:t xml:space="preserve">Next review date set: </w:t>
      </w:r>
      <w:r>
        <w:rPr>
          <w:color w:val="0A7A52"/>
        </w:rPr>
        <w:t xml:space="preserve">[ ]</w:t>
      </w:r>
      <w:r>
        <w:t xml:space="preserve"> (based on risk rating)</w:t>
      </w:r>
    </w:p>
    <w:p>
      <w:pPr>
        <w:tabs>
          <w:tab w:val="left" w:pos="400"/>
        </w:tabs>
        <w:spacing w:after="70"/>
        <w:ind w:left="400" w:hanging="400"/>
      </w:pPr>
      <w:r>
        <w:t xml:space="preserve">☐</w:t>
      </w:r>
      <w:r>
        <w:t xml:space="preserve">	</w:t>
      </w:r>
      <w:r>
        <w:t xml:space="preserve">Anything unusual reported to the nominated officer: date </w:t>
      </w:r>
      <w:r>
        <w:rPr>
          <w:color w:val="0A7A52"/>
        </w:rPr>
        <w:t xml:space="preserve">[ ]</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If you cannot complete CDD, do not start or continue the relationship or transaction, end any existing relationship and consider a suspicious activity report (regulation 31). Do not tell the client a report has been or may be made.</w:t>
            </w:r>
          </w:p>
        </w:tc>
      </w:tr>
    </w:tbl>
    <w:p>
      <w:pPr>
        <w:spacing w:before="0" w:after="0"/>
      </w:pPr>
    </w:p>
    <w:p>
      <w:pPr>
        <w:pStyle w:val="Heading1"/>
      </w:pPr>
      <w:r>
        <w:t xml:space="preserve">Part H. Record keeping (regulation 40)</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Where the CDD records are stored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[System / folder reference]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 the relationship ended or the occasional transaction completed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[e.g. completion date, withdrawal date, end of engagement]</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Retain until (five years after that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Personal data deleted on (unless a legal reason to keep it)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w:t>
            </w:r>
          </w:p>
        </w:tc>
      </w:tr>
    </w:tbl>
    <w:p>
      <w:pPr>
        <w:spacing w:before="0" w:after="0"/>
      </w:pP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Keep copies of the CDD documents and information, and records sufficient to reconstruct each transaction, for at least five years from the date you know or reasonably believe the business relationship ended or the occasional transaction completed. Records of transactions within a relationship need not be kept for more than 10 years. After that, personal data must be deleted unless you are required to keep it by law, for court proceedings, or the person has consented (regulation 40(3) to (5)).</w:t>
            </w:r>
          </w:p>
        </w:tc>
      </w:tr>
    </w:tbl>
    <w:p>
      <w:pPr>
        <w:spacing w:before="0" w:after="0"/>
      </w:pPr>
    </w:p>
    <w:p>
      <w:pPr>
        <w:pStyle w:val="Heading1"/>
      </w:pPr>
      <w:r>
        <w:t xml:space="preserve">Sign-off</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CDD completed by (name, signature,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Checked by (name, signature,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Senior manager approval, if high risk or PEP (name, signature, date)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Sources</w:t>
      </w:r>
    </w:p>
    <w:p>
      <w:r>
        <w:rPr>
          <w:color w:val="5F6663"/>
          <w:sz w:val="18"/>
          <w:szCs w:val="18"/>
        </w:rPr>
        <w:t xml:space="preserve">Checked on 23 October 2026. Laws and guidance change: check the current versions before relying on this template.</w:t>
      </w:r>
    </w:p>
    <w:p>
      <w:pPr>
        <w:pStyle w:val="ListParagraph"/>
        <w:numPr>
          <w:ilvl w:val="0"/>
          <w:numId w:val="2"/>
        </w:numPr>
        <w:spacing w:after="60"/>
      </w:pPr>
      <w:r>
        <w:t xml:space="preserve">The Money Laundering, Terrorist Financing and Transfer of Funds (Information on the Payer) Regulations 2017 (SI 2017/692), as amended: legislation.gov.uk/uksi/2017/692</w:t>
      </w:r>
    </w:p>
    <w:p>
      <w:pPr>
        <w:pStyle w:val="ListParagraph"/>
        <w:numPr>
          <w:ilvl w:val="0"/>
          <w:numId w:val="2"/>
        </w:numPr>
        <w:spacing w:after="60"/>
      </w:pPr>
      <w:r>
        <w:t xml:space="preserve">The Money Laundering and Terrorist Financing (Amendment) Regulations 2026 (SI 2026/621): legislation.gov.uk/uksi/2026/621/made</w:t>
      </w:r>
    </w:p>
    <w:p>
      <w:pPr>
        <w:pStyle w:val="ListParagraph"/>
        <w:numPr>
          <w:ilvl w:val="0"/>
          <w:numId w:val="2"/>
        </w:numPr>
        <w:spacing w:after="60"/>
      </w:pPr>
      <w:r>
        <w:t xml:space="preserve">HMRC, Anti-money laundering guidance for supervised businesses (updated 13 October 2026): gov.uk/hmrc-internal-manuals/anti-money-laundering-guidance-for-supervised-businesses</w:t>
      </w:r>
    </w:p>
    <w:p>
      <w:pPr>
        <w:pStyle w:val="ListParagraph"/>
        <w:numPr>
          <w:ilvl w:val="0"/>
          <w:numId w:val="2"/>
        </w:numPr>
        <w:spacing w:after="60"/>
      </w:pPr>
      <w:r>
        <w:t xml:space="preserve">HMRC AMLG11300 to AMLG11700 (customer due diligence, identifying and verifying customers, ongoing monitoring, enhanced due diligence, source of funds and wealth, FATF call for action countries, PEPs, record keeping)</w:t>
      </w:r>
    </w:p>
    <w:p>
      <w:pPr>
        <w:pStyle w:val="ListParagraph"/>
        <w:numPr>
          <w:ilvl w:val="0"/>
          <w:numId w:val="2"/>
        </w:numPr>
        <w:spacing w:after="60"/>
      </w:pPr>
      <w:r>
        <w:t xml:space="preserve">HMRC AMLG2200 Estate agent business guidance, AMLG2300 Letting agent business guidance and AMLG3200 Risk assessment of estate agency businesses</w:t>
      </w:r>
    </w:p>
    <w:p>
      <w:pPr>
        <w:pStyle w:val="ListParagraph"/>
        <w:numPr>
          <w:ilvl w:val="0"/>
          <w:numId w:val="2"/>
        </w:numPr>
        <w:spacing w:after="60"/>
      </w:pPr>
      <w:r>
        <w:t xml:space="preserve">CCAB, Anti-Money Laundering and Counter-Terrorist Financing Guidance for the Accountancy Sector 2026 (law as at 1 July 2026): ccab.org.uk</w:t>
      </w:r>
    </w:p>
    <w:p>
      <w:pPr>
        <w:pStyle w:val="ListParagraph"/>
        <w:numPr>
          <w:ilvl w:val="0"/>
          <w:numId w:val="2"/>
        </w:numPr>
        <w:spacing w:after="60"/>
      </w:pPr>
      <w:r>
        <w:t xml:space="preserve">Legal Sector Affinity Group, Anti-money laundering guidance for the legal sector 2025 (HM Treasury approved, effective 23 April 2025)</w:t>
      </w:r>
    </w:p>
    <w:p>
      <w:pPr>
        <w:pStyle w:val="ListParagraph"/>
        <w:numPr>
          <w:ilvl w:val="0"/>
          <w:numId w:val="2"/>
        </w:numPr>
        <w:spacing w:after="60"/>
      </w:pPr>
      <w:r>
        <w:t xml:space="preserve">FATF, High-risk jurisdictions subject to a call for action (check the latest publication): fatf-gafi.org</w:t>
      </w:r>
    </w:p>
    <w:p>
      <w:pPr>
        <w:pStyle w:val="ListParagraph"/>
        <w:numPr>
          <w:ilvl w:val="0"/>
          <w:numId w:val="2"/>
        </w:numPr>
        <w:spacing w:after="60"/>
      </w:pPr>
      <w:r>
        <w:t xml:space="preserve">DSIT, UK digital identity and attributes trust framework and the DVS register; HM Treasury and DSIT, Using digital identities with the Money Laundering Regulations (February 2026): gov.uk</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F6663"/>
        <w:sz w:val="16"/>
        <w:szCs w:val="16"/>
      </w:rPr>
      <w:t xml:space="preserve">Customer due diligence (CDD) checklist   |   </w:t>
    </w:r>
    <w:r>
      <w:rPr>
        <w:color w:val="5F6663"/>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63"/>
        <w:sz w:val="16"/>
        <w:szCs w:val="16"/>
      </w:rPr>
      <w:t xml:space="preserve">AML Buddy — free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320"/>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0E3B2C"/>
      <w:sz w:val="44"/>
      <w:szCs w:val="44"/>
    </w:rPr>
  </w:style>
  <w:style w:type="paragraph" w:styleId="Heading1">
    <w:name w:val="Heading 1"/>
    <w:basedOn w:val="Normal"/>
    <w:next w:val="Normal"/>
    <w:qFormat/>
    <w:pPr>
      <w:keepNext/>
      <w:spacing w:before="360" w:after="140"/>
    </w:pPr>
    <w:rPr>
      <w:rFonts w:ascii="Arial" w:cs="Arial" w:eastAsia="Arial" w:hAnsi="Arial"/>
      <w:b/>
      <w:bCs/>
      <w:color w:val="0E3B2C"/>
      <w:sz w:val="30"/>
      <w:szCs w:val="30"/>
    </w:rPr>
  </w:style>
  <w:style w:type="paragraph" w:styleId="Heading2">
    <w:name w:val="Heading 2"/>
    <w:basedOn w:val="Normal"/>
    <w:next w:val="Normal"/>
    <w:qFormat/>
    <w:pPr>
      <w:keepNext/>
      <w:spacing w:before="280" w:after="100"/>
    </w:pPr>
    <w:rPr>
      <w:rFonts w:ascii="Arial" w:cs="Arial" w:eastAsia="Arial" w:hAnsi="Arial"/>
      <w:b/>
      <w:bCs/>
      <w:color w:val="0E3B2C"/>
      <w:sz w:val="25"/>
      <w:szCs w:val="25"/>
    </w:rPr>
  </w:style>
  <w:style w:type="paragraph" w:styleId="Heading3">
    <w:name w:val="Heading 3"/>
    <w:basedOn w:val="Normal"/>
    <w:next w:val="Normal"/>
    <w:qFormat/>
    <w:pPr>
      <w:keepNext/>
      <w:spacing w:before="200" w:after="80"/>
    </w:pPr>
    <w:rPr>
      <w:rFonts w:ascii="Arial" w:cs="Arial" w:eastAsia="Arial" w:hAnsi="Arial"/>
      <w:b/>
      <w:bCs/>
      <w:color w:val="0A7A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due diligence (CDD) checklist</dc:title>
  <dc:creator>AML Buddy</dc:creator>
  <dc:description>Per-client checklist for individuals, companies and trusts, with screening, ongoing monitoring and five-year record keeping (MLR 2017 regulations 27, 28, 30A, 31, 33 and 40)</dc:description>
  <cp:lastModifiedBy>Un-named</cp:lastModifiedBy>
  <cp:revision>1</cp:revision>
  <dcterms:created xsi:type="dcterms:W3CDTF">2026-10-23T18:27:28.358Z</dcterms:created>
  <dcterms:modified xsi:type="dcterms:W3CDTF">2026-10-23T18:27:28.358Z</dcterms:modified>
</cp:coreProperties>
</file>

<file path=docProps/custom.xml><?xml version="1.0" encoding="utf-8"?>
<Properties xmlns="http://schemas.openxmlformats.org/officeDocument/2006/custom-properties" xmlns:vt="http://schemas.openxmlformats.org/officeDocument/2006/docPropsVTypes"/>
</file>