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AML policy and procedures</w:t>
      </w:r>
    </w:p>
    <w:p>
      <w:pPr>
        <w:spacing w:after="240"/>
      </w:pPr>
      <w:r>
        <w:rPr>
          <w:color w:val="5F6663"/>
          <w:sz w:val="24"/>
          <w:szCs w:val="24"/>
        </w:rPr>
        <w:t xml:space="preserve">Template for a small estate agency and letting agency business (MLR 2017, regulations 19 to 24)</w:t>
      </w:r>
    </w:p>
    <w:tbl>
      <w:tblPr>
        <w:tblW w:type="dxa" w:w="9638"/>
        <w:tblBorders>
          <w:top w:val="none" w:color="FFFFFF" w:sz="0"/>
          <w:left w:val="single" w:color="0E3B2C" w:sz="24"/>
          <w:bottom w:val="none" w:color="FFFFFF" w:sz="0"/>
          <w:right w:val="none" w:color="FFFFFF" w:sz="0"/>
          <w:insideH w:val="none" w:color="FFFFFF" w:sz="0"/>
          <w:insideV w:val="none" w:color="FFFFFF" w:sz="0"/>
        </w:tblBorders>
      </w:tblPr>
      <w:tblGrid>
        <w:gridCol w:w="9638"/>
      </w:tblGrid>
      <w:tr>
        <w:tc>
          <w:tcPr>
            <w:tcW w:type="dxa" w:w="9638"/>
            <w:shd w:fill="F4F5F4" w:color="auto" w:val="clear"/>
            <w:tcMar>
              <w:top w:type="dxa" w:w="110"/>
              <w:left w:type="dxa" w:w="180"/>
              <w:bottom w:type="dxa" w:w="110"/>
              <w:right w:type="dxa" w:w="160"/>
            </w:tcMar>
          </w:tcPr>
          <w:p>
            <w:pPr>
              <w:spacing w:before="0" w:after="0"/>
            </w:pPr>
            <w:r>
              <w:rPr>
                <w:b/>
                <w:bCs/>
                <w:color w:val="0E3B2C"/>
                <w:sz w:val="19"/>
                <w:szCs w:val="19"/>
              </w:rPr>
              <w:t xml:space="preserve">Important: </w:t>
            </w:r>
            <w:r>
              <w:rPr>
                <w:sz w:val="19"/>
                <w:szCs w:val="19"/>
              </w:rPr>
              <w:t xml:space="preserve">This is a template to adapt, not legal advice. It reflects the Money Laundering Regulations 2017 as amended (including SI 2026/621, in force from 30 June 2026) and supervisor guidance published by 23 October 2026. Before you use it, check it against your AML supervisor’s current guidance (for example HMRC’s anti-money laundering guidance for supervised businesses, the CCAB guidance for the accountancy sector 2026 or the LSAG guidance 2025), adapt it to your own business and delete the guidance notes. Your firm remains responsible for its own compliance. Provided free, as is, without warranty.</w:t>
            </w:r>
          </w:p>
        </w:tc>
      </w:tr>
    </w:tbl>
    <w:p>
      <w:pPr>
        <w:spacing w:before="0" w:after="0"/>
      </w:pPr>
    </w:p>
    <w:tbl>
      <w:tblPr>
        <w:tblW w:type="dxa" w:w="9638"/>
        <w:tblBorders>
          <w:top w:val="single" w:color="C9D1CD" w:sz="4"/>
          <w:left w:val="single" w:color="C9D1CD" w:sz="4"/>
          <w:bottom w:val="single" w:color="C9D1CD" w:sz="4"/>
          <w:right w:val="single" w:color="C9D1CD" w:sz="4"/>
          <w:insideH w:val="single" w:color="C9D1CD" w:sz="4"/>
          <w:insideV w:val="single" w:color="C9D1CD" w:sz="4"/>
        </w:tblBorders>
      </w:tblPr>
      <w:tblGrid>
        <w:gridCol w:w="3662"/>
        <w:gridCol w:w="5976"/>
      </w:tblGrid>
      <w:tr>
        <w:trPr>
          <w:cantSplit/>
        </w:trPr>
        <w:tc>
          <w:tcPr>
            <w:tcW w:type="dxa" w:w="3662"/>
            <w:shd w:fill="EEF3F1" w:color="auto" w:val="clear"/>
            <w:tcMar>
              <w:top w:type="dxa" w:w="70"/>
              <w:left w:type="dxa" w:w="100"/>
              <w:bottom w:type="dxa" w:w="70"/>
              <w:right w:type="dxa" w:w="100"/>
            </w:tcMar>
          </w:tcPr>
          <w:p>
            <w:pPr>
              <w:spacing w:before="0" w:after="0"/>
            </w:pPr>
            <w:r>
              <w:rPr>
                <w:b/>
                <w:bCs/>
                <w:sz w:val="19"/>
                <w:szCs w:val="19"/>
              </w:rPr>
              <w:t xml:space="preserve">Firm name</w:t>
            </w:r>
          </w:p>
        </w:tc>
        <w:tc>
          <w:tcPr>
            <w:tcW w:type="dxa" w:w="5976"/>
            <w:tcMar>
              <w:top w:type="dxa" w:w="70"/>
              <w:left w:type="dxa" w:w="100"/>
              <w:bottom w:type="dxa" w:w="70"/>
              <w:right w:type="dxa" w:w="100"/>
            </w:tcMar>
          </w:tcPr>
          <w:p>
            <w:pPr>
              <w:spacing w:before="0" w:after="0"/>
            </w:pPr>
            <w:r>
              <w:rPr>
                <w:b w:val="false"/>
                <w:bCs w:val="false"/>
                <w:color w:val="0A7A52"/>
                <w:sz w:val="19"/>
                <w:szCs w:val="19"/>
              </w:rPr>
              <w:t xml:space="preserve">[Firm name]</w:t>
            </w:r>
            <w:r>
              <w:rPr>
                <w:b w:val="false"/>
                <w:bCs w:val="false"/>
                <w:sz w:val="19"/>
                <w:szCs w:val="19"/>
              </w:rPr>
              <w:t xml:space="preserve"> (trading as </w:t>
            </w:r>
            <w:r>
              <w:rPr>
                <w:b w:val="false"/>
                <w:bCs w:val="false"/>
                <w:color w:val="0A7A52"/>
                <w:sz w:val="19"/>
                <w:szCs w:val="19"/>
              </w:rPr>
              <w:t xml:space="preserve">[trading name]</w:t>
            </w:r>
            <w:r>
              <w:rPr>
                <w:b w:val="false"/>
                <w:bCs w:val="false"/>
                <w:sz w:val="19"/>
                <w:szCs w:val="19"/>
              </w:rPr>
              <w:t xml:space="preserve">)</w:t>
            </w:r>
          </w:p>
        </w:tc>
      </w:tr>
      <w:tr>
        <w:trPr>
          <w:cantSplit/>
        </w:trPr>
        <w:tc>
          <w:tcPr>
            <w:tcW w:type="dxa" w:w="3662"/>
            <w:shd w:fill="EEF3F1" w:color="auto" w:val="clear"/>
            <w:tcMar>
              <w:top w:type="dxa" w:w="70"/>
              <w:left w:type="dxa" w:w="100"/>
              <w:bottom w:type="dxa" w:w="70"/>
              <w:right w:type="dxa" w:w="100"/>
            </w:tcMar>
          </w:tcPr>
          <w:p>
            <w:pPr>
              <w:spacing w:before="0" w:after="0"/>
            </w:pPr>
            <w:r>
              <w:rPr>
                <w:b/>
                <w:bCs/>
                <w:sz w:val="19"/>
                <w:szCs w:val="19"/>
              </w:rPr>
              <w:t xml:space="preserve">AML supervisor</w:t>
            </w:r>
          </w:p>
        </w:tc>
        <w:tc>
          <w:tcPr>
            <w:tcW w:type="dxa" w:w="5976"/>
            <w:tcMar>
              <w:top w:type="dxa" w:w="70"/>
              <w:left w:type="dxa" w:w="100"/>
              <w:bottom w:type="dxa" w:w="70"/>
              <w:right w:type="dxa" w:w="100"/>
            </w:tcMar>
          </w:tcPr>
          <w:p>
            <w:pPr>
              <w:spacing w:before="0" w:after="0"/>
            </w:pPr>
            <w:r>
              <w:rPr>
                <w:b w:val="false"/>
                <w:bCs w:val="false"/>
                <w:color w:val="0A7A52"/>
                <w:sz w:val="19"/>
                <w:szCs w:val="19"/>
              </w:rPr>
              <w:t xml:space="preserve">[HM Revenue &amp; Customs (HMRC)]</w:t>
            </w:r>
          </w:p>
        </w:tc>
      </w:tr>
      <w:tr>
        <w:trPr>
          <w:cantSplit/>
        </w:trPr>
        <w:tc>
          <w:tcPr>
            <w:tcW w:type="dxa" w:w="3662"/>
            <w:shd w:fill="EEF3F1" w:color="auto" w:val="clear"/>
            <w:tcMar>
              <w:top w:type="dxa" w:w="70"/>
              <w:left w:type="dxa" w:w="100"/>
              <w:bottom w:type="dxa" w:w="70"/>
              <w:right w:type="dxa" w:w="100"/>
            </w:tcMar>
          </w:tcPr>
          <w:p>
            <w:pPr>
              <w:spacing w:before="0" w:after="0"/>
            </w:pPr>
            <w:r>
              <w:rPr>
                <w:b/>
                <w:bCs/>
                <w:sz w:val="19"/>
                <w:szCs w:val="19"/>
              </w:rPr>
              <w:t xml:space="preserve">Supervisor registration or membership number</w:t>
            </w:r>
          </w:p>
        </w:tc>
        <w:tc>
          <w:tcPr>
            <w:tcW w:type="dxa" w:w="5976"/>
            <w:tcMar>
              <w:top w:type="dxa" w:w="70"/>
              <w:left w:type="dxa" w:w="100"/>
              <w:bottom w:type="dxa" w:w="70"/>
              <w:right w:type="dxa" w:w="100"/>
            </w:tcMar>
          </w:tcPr>
          <w:p>
            <w:pPr>
              <w:spacing w:before="0" w:after="0"/>
            </w:pPr>
            <w:r>
              <w:rPr>
                <w:b w:val="false"/>
                <w:bCs w:val="false"/>
                <w:color w:val="0A7A52"/>
                <w:sz w:val="19"/>
                <w:szCs w:val="19"/>
              </w:rPr>
              <w:t xml:space="preserve">[Number]</w:t>
            </w:r>
          </w:p>
        </w:tc>
      </w:tr>
      <w:tr>
        <w:trPr>
          <w:cantSplit/>
        </w:trPr>
        <w:tc>
          <w:tcPr>
            <w:tcW w:type="dxa" w:w="3662"/>
            <w:shd w:fill="EEF3F1" w:color="auto" w:val="clear"/>
            <w:tcMar>
              <w:top w:type="dxa" w:w="70"/>
              <w:left w:type="dxa" w:w="100"/>
              <w:bottom w:type="dxa" w:w="70"/>
              <w:right w:type="dxa" w:w="100"/>
            </w:tcMar>
          </w:tcPr>
          <w:p>
            <w:pPr>
              <w:spacing w:before="0" w:after="0"/>
            </w:pPr>
            <w:r>
              <w:rPr>
                <w:b/>
                <w:bCs/>
                <w:sz w:val="19"/>
                <w:szCs w:val="19"/>
              </w:rPr>
              <w:t xml:space="preserve">Version</w:t>
            </w:r>
          </w:p>
        </w:tc>
        <w:tc>
          <w:tcPr>
            <w:tcW w:type="dxa" w:w="5976"/>
            <w:tcMar>
              <w:top w:type="dxa" w:w="70"/>
              <w:left w:type="dxa" w:w="100"/>
              <w:bottom w:type="dxa" w:w="70"/>
              <w:right w:type="dxa" w:w="100"/>
            </w:tcMar>
          </w:tcPr>
          <w:p>
            <w:pPr>
              <w:spacing w:before="0" w:after="0"/>
            </w:pPr>
            <w:r>
              <w:rPr>
                <w:b w:val="false"/>
                <w:bCs w:val="false"/>
                <w:color w:val="0A7A52"/>
                <w:sz w:val="19"/>
                <w:szCs w:val="19"/>
              </w:rPr>
              <w:t xml:space="preserve">[1.0]</w:t>
            </w:r>
          </w:p>
        </w:tc>
      </w:tr>
      <w:tr>
        <w:trPr>
          <w:cantSplit/>
        </w:trPr>
        <w:tc>
          <w:tcPr>
            <w:tcW w:type="dxa" w:w="3662"/>
            <w:shd w:fill="EEF3F1" w:color="auto" w:val="clear"/>
            <w:tcMar>
              <w:top w:type="dxa" w:w="70"/>
              <w:left w:type="dxa" w:w="100"/>
              <w:bottom w:type="dxa" w:w="70"/>
              <w:right w:type="dxa" w:w="100"/>
            </w:tcMar>
          </w:tcPr>
          <w:p>
            <w:pPr>
              <w:spacing w:before="0" w:after="0"/>
            </w:pPr>
            <w:r>
              <w:rPr>
                <w:b/>
                <w:bCs/>
                <w:sz w:val="19"/>
                <w:szCs w:val="19"/>
              </w:rPr>
              <w:t xml:space="preserve">Prepared by</w:t>
            </w:r>
          </w:p>
        </w:tc>
        <w:tc>
          <w:tcPr>
            <w:tcW w:type="dxa" w:w="5976"/>
            <w:tcMar>
              <w:top w:type="dxa" w:w="70"/>
              <w:left w:type="dxa" w:w="100"/>
              <w:bottom w:type="dxa" w:w="70"/>
              <w:right w:type="dxa" w:w="100"/>
            </w:tcMar>
          </w:tcPr>
          <w:p>
            <w:pPr>
              <w:spacing w:before="0" w:after="0"/>
            </w:pPr>
            <w:r>
              <w:rPr>
                <w:b w:val="false"/>
                <w:bCs w:val="false"/>
                <w:color w:val="0A7A52"/>
                <w:sz w:val="19"/>
                <w:szCs w:val="19"/>
              </w:rPr>
              <w:t xml:space="preserve">[Name, role]</w:t>
            </w:r>
          </w:p>
        </w:tc>
      </w:tr>
      <w:tr>
        <w:trPr>
          <w:cantSplit/>
        </w:trPr>
        <w:tc>
          <w:tcPr>
            <w:tcW w:type="dxa" w:w="3662"/>
            <w:shd w:fill="EEF3F1" w:color="auto" w:val="clear"/>
            <w:tcMar>
              <w:top w:type="dxa" w:w="70"/>
              <w:left w:type="dxa" w:w="100"/>
              <w:bottom w:type="dxa" w:w="70"/>
              <w:right w:type="dxa" w:w="100"/>
            </w:tcMar>
          </w:tcPr>
          <w:p>
            <w:pPr>
              <w:spacing w:before="0" w:after="0"/>
            </w:pPr>
            <w:r>
              <w:rPr>
                <w:b/>
                <w:bCs/>
                <w:sz w:val="19"/>
                <w:szCs w:val="19"/>
              </w:rPr>
              <w:t xml:space="preserve">Approved by (senior management)</w:t>
            </w:r>
          </w:p>
        </w:tc>
        <w:tc>
          <w:tcPr>
            <w:tcW w:type="dxa" w:w="5976"/>
            <w:tcMar>
              <w:top w:type="dxa" w:w="70"/>
              <w:left w:type="dxa" w:w="100"/>
              <w:bottom w:type="dxa" w:w="70"/>
              <w:right w:type="dxa" w:w="100"/>
            </w:tcMar>
          </w:tcPr>
          <w:p>
            <w:pPr>
              <w:spacing w:before="0" w:after="0"/>
            </w:pPr>
            <w:r>
              <w:rPr>
                <w:b w:val="false"/>
                <w:bCs w:val="false"/>
                <w:color w:val="0A7A52"/>
                <w:sz w:val="19"/>
                <w:szCs w:val="19"/>
              </w:rPr>
              <w:t xml:space="preserve">[Name, role]</w:t>
            </w:r>
          </w:p>
        </w:tc>
      </w:tr>
      <w:tr>
        <w:trPr>
          <w:cantSplit/>
        </w:trPr>
        <w:tc>
          <w:tcPr>
            <w:tcW w:type="dxa" w:w="3662"/>
            <w:shd w:fill="EEF3F1" w:color="auto" w:val="clear"/>
            <w:tcMar>
              <w:top w:type="dxa" w:w="70"/>
              <w:left w:type="dxa" w:w="100"/>
              <w:bottom w:type="dxa" w:w="70"/>
              <w:right w:type="dxa" w:w="100"/>
            </w:tcMar>
          </w:tcPr>
          <w:p>
            <w:pPr>
              <w:spacing w:before="0" w:after="0"/>
            </w:pPr>
            <w:r>
              <w:rPr>
                <w:b/>
                <w:bCs/>
                <w:sz w:val="19"/>
                <w:szCs w:val="19"/>
              </w:rPr>
              <w:t xml:space="preserve">Date approved</w:t>
            </w:r>
          </w:p>
        </w:tc>
        <w:tc>
          <w:tcPr>
            <w:tcW w:type="dxa" w:w="5976"/>
            <w:tcMar>
              <w:top w:type="dxa" w:w="70"/>
              <w:left w:type="dxa" w:w="100"/>
              <w:bottom w:type="dxa" w:w="70"/>
              <w:right w:type="dxa" w:w="100"/>
            </w:tcMar>
          </w:tcPr>
          <w:p>
            <w:pPr>
              <w:spacing w:before="0" w:after="0"/>
            </w:pPr>
            <w:r>
              <w:rPr>
                <w:b w:val="false"/>
                <w:bCs w:val="false"/>
                <w:color w:val="0A7A52"/>
                <w:sz w:val="19"/>
                <w:szCs w:val="19"/>
              </w:rPr>
              <w:t xml:space="preserve">[DD Month YYYY]</w:t>
            </w:r>
          </w:p>
        </w:tc>
      </w:tr>
      <w:tr>
        <w:trPr>
          <w:cantSplit/>
        </w:trPr>
        <w:tc>
          <w:tcPr>
            <w:tcW w:type="dxa" w:w="3662"/>
            <w:shd w:fill="EEF3F1" w:color="auto" w:val="clear"/>
            <w:tcMar>
              <w:top w:type="dxa" w:w="70"/>
              <w:left w:type="dxa" w:w="100"/>
              <w:bottom w:type="dxa" w:w="70"/>
              <w:right w:type="dxa" w:w="100"/>
            </w:tcMar>
          </w:tcPr>
          <w:p>
            <w:pPr>
              <w:spacing w:before="0" w:after="0"/>
            </w:pPr>
            <w:r>
              <w:rPr>
                <w:b/>
                <w:bCs/>
                <w:sz w:val="19"/>
                <w:szCs w:val="19"/>
              </w:rPr>
              <w:t xml:space="preserve">Next review due</w:t>
            </w:r>
          </w:p>
        </w:tc>
        <w:tc>
          <w:tcPr>
            <w:tcW w:type="dxa" w:w="5976"/>
            <w:tcMar>
              <w:top w:type="dxa" w:w="70"/>
              <w:left w:type="dxa" w:w="100"/>
              <w:bottom w:type="dxa" w:w="70"/>
              <w:right w:type="dxa" w:w="100"/>
            </w:tcMar>
          </w:tcPr>
          <w:p>
            <w:pPr>
              <w:spacing w:before="0" w:after="0"/>
            </w:pPr>
            <w:r>
              <w:rPr>
                <w:b w:val="false"/>
                <w:bCs w:val="false"/>
                <w:color w:val="0A7A52"/>
                <w:sz w:val="19"/>
                <w:szCs w:val="19"/>
              </w:rPr>
              <w:t xml:space="preserve">[DD Month YYYY, no later than 12 months after approval]</w:t>
            </w:r>
          </w:p>
        </w:tc>
      </w:tr>
    </w:tbl>
    <w:p>
      <w:pPr>
        <w:spacing w:before="0" w:after="0"/>
      </w:pPr>
    </w:p>
    <w:p>
      <w:pPr>
        <w:pStyle w:val="Heading2"/>
      </w:pPr>
      <w:r>
        <w:t xml:space="preserve">How to use this template</w:t>
      </w:r>
    </w:p>
    <w:p>
      <w:pPr>
        <w:pStyle w:val="ListParagraph"/>
        <w:numPr>
          <w:ilvl w:val="0"/>
          <w:numId w:val="2"/>
        </w:numPr>
        <w:spacing w:after="60"/>
      </w:pPr>
      <w:r>
        <w:t xml:space="preserve">Replace every </w:t>
      </w:r>
      <w:r>
        <w:rPr>
          <w:color w:val="0A7A52"/>
        </w:rPr>
        <w:t xml:space="preserve">[square-bracket placeholder]</w:t>
      </w:r>
      <w:r>
        <w:t xml:space="preserve"> with your firm’s details. Delete options that do not apply.</w:t>
      </w:r>
    </w:p>
    <w:p>
      <w:pPr>
        <w:pStyle w:val="ListParagraph"/>
        <w:numPr>
          <w:ilvl w:val="0"/>
          <w:numId w:val="2"/>
        </w:numPr>
        <w:spacing w:after="60"/>
      </w:pPr>
      <w:r>
        <w:t xml:space="preserve">Read and then delete the shaded guidance notes before you finalise the document.</w:t>
      </w:r>
    </w:p>
    <w:p>
      <w:pPr>
        <w:pStyle w:val="ListParagraph"/>
        <w:numPr>
          <w:ilvl w:val="0"/>
          <w:numId w:val="2"/>
        </w:numPr>
        <w:spacing w:after="60"/>
      </w:pPr>
      <w:r>
        <w:t xml:space="preserve">Make it describe what your firm actually does. A supervisor will test your day-to-day practice against it, and a generic copy-and-paste document is a common inspection finding.</w:t>
      </w:r>
    </w:p>
    <w:p>
      <w:pPr>
        <w:pStyle w:val="ListParagraph"/>
        <w:numPr>
          <w:ilvl w:val="0"/>
          <w:numId w:val="2"/>
        </w:numPr>
        <w:spacing w:after="60"/>
      </w:pPr>
      <w:r>
        <w:t xml:space="preserve">Use it together with your firm-wide risk assessment (regulation 18). Your policy must be based on the risks that assessment identifies.</w:t>
      </w:r>
    </w:p>
    <w:p>
      <w:pPr>
        <w:pStyle w:val="ListParagraph"/>
        <w:numPr>
          <w:ilvl w:val="0"/>
          <w:numId w:val="2"/>
        </w:numPr>
        <w:spacing w:after="60"/>
      </w:pPr>
      <w:r>
        <w:t xml:space="preserve">If you do not let property at a monthly rent of £10,000 or more, delete section 6.</w:t>
      </w:r>
    </w:p>
    <w:tbl>
      <w:tblPr>
        <w:tblW w:type="dxa" w:w="9638"/>
        <w:tblBorders>
          <w:top w:val="none" w:color="FFFFFF" w:sz="0"/>
          <w:left w:val="single" w:color="0A7A52" w:sz="24"/>
          <w:bottom w:val="none" w:color="FFFFFF" w:sz="0"/>
          <w:right w:val="none" w:color="FFFFFF" w:sz="0"/>
          <w:insideH w:val="none" w:color="FFFFFF" w:sz="0"/>
          <w:insideV w:val="none" w:color="FFFFFF" w:sz="0"/>
        </w:tblBorders>
      </w:tblPr>
      <w:tblGrid>
        <w:gridCol w:w="9638"/>
      </w:tblGrid>
      <w:tr>
        <w:tc>
          <w:tcPr>
            <w:tcW w:type="dxa" w:w="9638"/>
            <w:shd w:fill="EEF6F2" w:color="auto" w:val="clear"/>
            <w:tcMar>
              <w:top w:type="dxa" w:w="110"/>
              <w:left w:type="dxa" w:w="180"/>
              <w:bottom w:type="dxa" w:w="110"/>
              <w:right w:type="dxa" w:w="160"/>
            </w:tcMar>
          </w:tcPr>
          <w:p>
            <w:pPr>
              <w:spacing w:before="0" w:after="0"/>
            </w:pPr>
            <w:r>
              <w:rPr>
                <w:b/>
                <w:bCs/>
                <w:color w:val="0E3B2C"/>
                <w:sz w:val="19"/>
                <w:szCs w:val="19"/>
              </w:rPr>
              <w:t xml:space="preserve">Guidance note: </w:t>
            </w:r>
            <w:r>
              <w:rPr>
                <w:sz w:val="19"/>
                <w:szCs w:val="19"/>
              </w:rPr>
              <w:t xml:space="preserve">Regulation 19 requires written policies, controls and procedures (PCPs) that are proportionate to your size and nature, approved by senior management, regularly reviewed and communicated to staff. HMRC expects PCPs to be reviewed at least annually, even if nothing changes, the approver’s name and the approval date to be recorded, and previous versions to be kept for at least 5 years (AMLG1900).</w:t>
            </w:r>
          </w:p>
        </w:tc>
      </w:tr>
    </w:tbl>
    <w:p>
      <w:pPr>
        <w:spacing w:before="0" w:after="0"/>
      </w:pPr>
    </w:p>
    <w:p>
      <w:pPr>
        <w:pStyle w:val="Heading1"/>
      </w:pPr>
      <w:r>
        <w:t xml:space="preserve">1. Purpose and scope</w:t>
      </w:r>
    </w:p>
    <w:p>
      <w:pPr>
        <w:spacing w:after="120"/>
      </w:pPr>
      <w:r>
        <w:t xml:space="preserve">This document sets out how </w:t>
      </w:r>
      <w:r>
        <w:rPr>
          <w:color w:val="0A7A52"/>
        </w:rPr>
        <w:t xml:space="preserve">[Firm name]</w:t>
      </w:r>
      <w:r>
        <w:t xml:space="preserve"> (“the firm”, “we”) prevents its services from being used for money laundering, terrorist financing and proliferation financing, and how we comply with the Money Laundering Regulations 2017 as amended (“the MLRs”), Part 7 of the Proceeds of Crime Act 2002 (POCA) and Part 3 of the Terrorism Act 2000.</w:t>
      </w:r>
    </w:p>
    <w:p>
      <w:pPr>
        <w:spacing w:after="120"/>
      </w:pPr>
      <w:r>
        <w:t xml:space="preserve">It applies to everyone who works for or on behalf of the firm, including directors, partners, employees, temporary staff, contractors and </w:t>
      </w:r>
      <w:r>
        <w:rPr>
          <w:color w:val="0A7A52"/>
        </w:rPr>
        <w:t xml:space="preserve">[agents / franchisees / sub-agents]</w:t>
      </w:r>
      <w:r>
        <w:t xml:space="preserve">, at all our offices: </w:t>
      </w:r>
      <w:r>
        <w:rPr>
          <w:color w:val="0A7A52"/>
        </w:rPr>
        <w:t xml:space="preserve">[list branches and addresses]</w:t>
      </w:r>
      <w:r>
        <w:t xml:space="preserve">.</w:t>
      </w:r>
    </w:p>
    <w:p>
      <w:pPr>
        <w:spacing w:after="120"/>
      </w:pPr>
      <w:r>
        <w:t xml:space="preserve">The activities covered are:</w:t>
      </w:r>
    </w:p>
    <w:p>
      <w:pPr>
        <w:tabs>
          <w:tab w:val="left" w:pos="400"/>
        </w:tabs>
        <w:spacing w:after="70"/>
        <w:ind w:left="400" w:hanging="400"/>
      </w:pPr>
      <w:r>
        <w:t xml:space="preserve">☐</w:t>
      </w:r>
      <w:r>
        <w:t xml:space="preserve">	</w:t>
      </w:r>
      <w:r>
        <w:t xml:space="preserve">Estate agency work as defined by section 1 of the Estate Agents Act 1979: sales of </w:t>
      </w:r>
      <w:r>
        <w:rPr>
          <w:color w:val="0A7A52"/>
        </w:rPr>
        <w:t xml:space="preserve">[residential / commercial / land / new homes / auction]</w:t>
      </w:r>
      <w:r>
        <w:t xml:space="preserve"> property.</w:t>
      </w:r>
    </w:p>
    <w:p>
      <w:pPr>
        <w:tabs>
          <w:tab w:val="left" w:pos="400"/>
        </w:tabs>
        <w:spacing w:after="70"/>
        <w:ind w:left="400" w:hanging="400"/>
      </w:pPr>
      <w:r>
        <w:t xml:space="preserve">☐</w:t>
      </w:r>
      <w:r>
        <w:t xml:space="preserve">	</w:t>
      </w:r>
      <w:r>
        <w:t xml:space="preserve">Letting agency work where the monthly rent is £10,000 or more (MLR regulation 13, as amended by SI 2026/621).</w:t>
      </w:r>
    </w:p>
    <w:p>
      <w:pPr>
        <w:tabs>
          <w:tab w:val="left" w:pos="400"/>
        </w:tabs>
        <w:spacing w:after="70"/>
        <w:ind w:left="400" w:hanging="400"/>
      </w:pPr>
      <w:r>
        <w:t xml:space="preserve">☐</w:t>
      </w:r>
      <w:r>
        <w:t xml:space="preserve">	</w:t>
      </w:r>
      <w:r>
        <w:rPr>
          <w:color w:val="0A7A52"/>
        </w:rPr>
        <w:t xml:space="preserve">[Property sourcing / buying to resell / part exchange / relocation services]</w:t>
      </w:r>
    </w:p>
    <w:p>
      <w:pPr>
        <w:tabs>
          <w:tab w:val="left" w:pos="400"/>
        </w:tabs>
        <w:spacing w:after="70"/>
        <w:ind w:left="400" w:hanging="400"/>
      </w:pPr>
      <w:r>
        <w:t xml:space="preserve">☐</w:t>
      </w:r>
      <w:r>
        <w:t xml:space="preserve">	</w:t>
      </w:r>
      <w:r>
        <w:rPr>
          <w:color w:val="0A7A52"/>
        </w:rPr>
        <w:t xml:space="preserve">[Other]</w:t>
      </w:r>
    </w:p>
    <w:p>
      <w:pPr>
        <w:spacing w:after="120"/>
      </w:pPr>
      <w:r>
        <w:t xml:space="preserve">Breaching this policy is a disciplinary matter. Some breaches, such as tipping off a client about a report, are criminal offences.</w:t>
      </w:r>
    </w:p>
    <w:p>
      <w:pPr>
        <w:pStyle w:val="Heading1"/>
      </w:pPr>
      <w:r>
        <w:t xml:space="preserve">2. Responsibilities</w:t>
      </w:r>
    </w:p>
    <w:tbl>
      <w:tblPr>
        <w:tblW w:type="dxa" w:w="9638"/>
        <w:tblBorders>
          <w:top w:val="single" w:color="C9D1CD" w:sz="4"/>
          <w:left w:val="single" w:color="C9D1CD" w:sz="4"/>
          <w:bottom w:val="single" w:color="C9D1CD" w:sz="4"/>
          <w:right w:val="single" w:color="C9D1CD" w:sz="4"/>
          <w:insideH w:val="single" w:color="C9D1CD" w:sz="4"/>
          <w:insideV w:val="single" w:color="C9D1CD" w:sz="4"/>
        </w:tblBorders>
      </w:tblPr>
      <w:tblGrid>
        <w:gridCol w:w="2891"/>
        <w:gridCol w:w="1928"/>
        <w:gridCol w:w="4819"/>
      </w:tblGrid>
      <w:tr>
        <w:trPr>
          <w:cantSplit/>
          <w:tblHeader/>
        </w:trPr>
        <w:tc>
          <w:tcPr>
            <w:tcW w:type="dxa" w:w="2891"/>
            <w:shd w:fill="0E3B2C" w:color="auto" w:val="clear"/>
            <w:tcMar>
              <w:top w:type="dxa" w:w="70"/>
              <w:left w:type="dxa" w:w="100"/>
              <w:bottom w:type="dxa" w:w="70"/>
              <w:right w:type="dxa" w:w="100"/>
            </w:tcMar>
          </w:tcPr>
          <w:p>
            <w:pPr>
              <w:spacing w:before="0" w:after="0"/>
            </w:pPr>
            <w:r>
              <w:rPr>
                <w:b/>
                <w:bCs/>
                <w:color w:val="FFFFFF"/>
                <w:sz w:val="19"/>
                <w:szCs w:val="19"/>
              </w:rPr>
              <w:t xml:space="preserve">Role</w:t>
            </w:r>
          </w:p>
        </w:tc>
        <w:tc>
          <w:tcPr>
            <w:tcW w:type="dxa" w:w="1928"/>
            <w:shd w:fill="0E3B2C" w:color="auto" w:val="clear"/>
            <w:tcMar>
              <w:top w:type="dxa" w:w="70"/>
              <w:left w:type="dxa" w:w="100"/>
              <w:bottom w:type="dxa" w:w="70"/>
              <w:right w:type="dxa" w:w="100"/>
            </w:tcMar>
          </w:tcPr>
          <w:p>
            <w:pPr>
              <w:spacing w:before="0" w:after="0"/>
            </w:pPr>
            <w:r>
              <w:rPr>
                <w:b/>
                <w:bCs/>
                <w:color w:val="FFFFFF"/>
                <w:sz w:val="19"/>
                <w:szCs w:val="19"/>
              </w:rPr>
              <w:t xml:space="preserve">Name</w:t>
            </w:r>
          </w:p>
        </w:tc>
        <w:tc>
          <w:tcPr>
            <w:tcW w:type="dxa" w:w="4819"/>
            <w:shd w:fill="0E3B2C" w:color="auto" w:val="clear"/>
            <w:tcMar>
              <w:top w:type="dxa" w:w="70"/>
              <w:left w:type="dxa" w:w="100"/>
              <w:bottom w:type="dxa" w:w="70"/>
              <w:right w:type="dxa" w:w="100"/>
            </w:tcMar>
          </w:tcPr>
          <w:p>
            <w:pPr>
              <w:spacing w:before="0" w:after="0"/>
            </w:pPr>
            <w:r>
              <w:rPr>
                <w:b/>
                <w:bCs/>
                <w:color w:val="FFFFFF"/>
                <w:sz w:val="19"/>
                <w:szCs w:val="19"/>
              </w:rPr>
              <w:t xml:space="preserve">Responsibilities</w:t>
            </w:r>
          </w:p>
        </w:tc>
      </w:tr>
      <w:tr>
        <w:trPr>
          <w:cantSplit/>
        </w:trPr>
        <w:tc>
          <w:tcPr>
            <w:tcW w:type="dxa" w:w="2891"/>
            <w:tcMar>
              <w:top w:type="dxa" w:w="70"/>
              <w:left w:type="dxa" w:w="100"/>
              <w:bottom w:type="dxa" w:w="70"/>
              <w:right w:type="dxa" w:w="100"/>
            </w:tcMar>
          </w:tcPr>
          <w:p>
            <w:pPr>
              <w:spacing w:before="0" w:after="0"/>
            </w:pPr>
            <w:r>
              <w:rPr>
                <w:b w:val="false"/>
                <w:bCs w:val="false"/>
                <w:sz w:val="19"/>
                <w:szCs w:val="19"/>
              </w:rPr>
              <w:t xml:space="preserve">Senior manager responsible for compliance with the MLRs (regulation 21(1)(a))</w:t>
            </w:r>
          </w:p>
        </w:tc>
        <w:tc>
          <w:tcPr>
            <w:tcW w:type="dxa" w:w="1928"/>
            <w:tcMar>
              <w:top w:type="dxa" w:w="70"/>
              <w:left w:type="dxa" w:w="100"/>
              <w:bottom w:type="dxa" w:w="70"/>
              <w:right w:type="dxa" w:w="100"/>
            </w:tcMar>
          </w:tcPr>
          <w:p>
            <w:pPr>
              <w:spacing w:before="0" w:after="0"/>
            </w:pPr>
            <w:r>
              <w:rPr>
                <w:b w:val="false"/>
                <w:bCs w:val="false"/>
                <w:color w:val="0A7A52"/>
                <w:sz w:val="19"/>
                <w:szCs w:val="19"/>
              </w:rPr>
              <w:t xml:space="preserve">[Name, role]</w:t>
            </w:r>
          </w:p>
        </w:tc>
        <w:tc>
          <w:tcPr>
            <w:tcW w:type="dxa" w:w="4819"/>
            <w:tcMar>
              <w:top w:type="dxa" w:w="70"/>
              <w:left w:type="dxa" w:w="100"/>
              <w:bottom w:type="dxa" w:w="70"/>
              <w:right w:type="dxa" w:w="100"/>
            </w:tcMar>
          </w:tcPr>
          <w:p>
            <w:pPr>
              <w:spacing w:before="0" w:after="0"/>
            </w:pPr>
            <w:r>
              <w:rPr>
                <w:b w:val="false"/>
                <w:bCs w:val="false"/>
                <w:sz w:val="19"/>
                <w:szCs w:val="19"/>
              </w:rPr>
              <w:t xml:space="preserve">Owns this policy and the firm-wide risk assessment; approves them; makes sure the firm has the resources to comply; approves high-risk and PEP clients.</w:t>
            </w:r>
          </w:p>
        </w:tc>
      </w:tr>
      <w:tr>
        <w:trPr>
          <w:cantSplit/>
        </w:trPr>
        <w:tc>
          <w:tcPr>
            <w:tcW w:type="dxa" w:w="2891"/>
            <w:tcMar>
              <w:top w:type="dxa" w:w="70"/>
              <w:left w:type="dxa" w:w="100"/>
              <w:bottom w:type="dxa" w:w="70"/>
              <w:right w:type="dxa" w:w="100"/>
            </w:tcMar>
          </w:tcPr>
          <w:p>
            <w:pPr>
              <w:spacing w:before="0" w:after="0"/>
            </w:pPr>
            <w:r>
              <w:rPr>
                <w:b w:val="false"/>
                <w:bCs w:val="false"/>
                <w:sz w:val="19"/>
                <w:szCs w:val="19"/>
              </w:rPr>
              <w:t xml:space="preserve">Nominated officer / money laundering reporting officer (MLRO) (regulation 21(3))</w:t>
            </w:r>
          </w:p>
        </w:tc>
        <w:tc>
          <w:tcPr>
            <w:tcW w:type="dxa" w:w="1928"/>
            <w:tcMar>
              <w:top w:type="dxa" w:w="70"/>
              <w:left w:type="dxa" w:w="100"/>
              <w:bottom w:type="dxa" w:w="70"/>
              <w:right w:type="dxa" w:w="100"/>
            </w:tcMar>
          </w:tcPr>
          <w:p>
            <w:pPr>
              <w:spacing w:before="0" w:after="0"/>
            </w:pPr>
            <w:r>
              <w:rPr>
                <w:b w:val="false"/>
                <w:bCs w:val="false"/>
                <w:color w:val="0A7A52"/>
                <w:sz w:val="19"/>
                <w:szCs w:val="19"/>
              </w:rPr>
              <w:t xml:space="preserve">[Name, role]</w:t>
            </w:r>
          </w:p>
        </w:tc>
        <w:tc>
          <w:tcPr>
            <w:tcW w:type="dxa" w:w="4819"/>
            <w:tcMar>
              <w:top w:type="dxa" w:w="70"/>
              <w:left w:type="dxa" w:w="100"/>
              <w:bottom w:type="dxa" w:w="70"/>
              <w:right w:type="dxa" w:w="100"/>
            </w:tcMar>
          </w:tcPr>
          <w:p>
            <w:pPr>
              <w:spacing w:before="0" w:after="0"/>
            </w:pPr>
            <w:r>
              <w:rPr>
                <w:b w:val="false"/>
                <w:bCs w:val="false"/>
                <w:sz w:val="19"/>
                <w:szCs w:val="19"/>
              </w:rPr>
              <w:t xml:space="preserve">Receives internal suspicious activity reports, decides whether to report to the National Crime Agency (NCA), requests a defence against money laundering (DAML) where needed, keeps reporting records, advises staff.</w:t>
            </w:r>
          </w:p>
        </w:tc>
      </w:tr>
      <w:tr>
        <w:trPr>
          <w:cantSplit/>
        </w:trPr>
        <w:tc>
          <w:tcPr>
            <w:tcW w:type="dxa" w:w="2891"/>
            <w:tcMar>
              <w:top w:type="dxa" w:w="70"/>
              <w:left w:type="dxa" w:w="100"/>
              <w:bottom w:type="dxa" w:w="70"/>
              <w:right w:type="dxa" w:w="100"/>
            </w:tcMar>
          </w:tcPr>
          <w:p>
            <w:pPr>
              <w:spacing w:before="0" w:after="0"/>
            </w:pPr>
            <w:r>
              <w:rPr>
                <w:b w:val="false"/>
                <w:bCs w:val="false"/>
                <w:sz w:val="19"/>
                <w:szCs w:val="19"/>
              </w:rPr>
              <w:t xml:space="preserve">Deputy nominated officer</w:t>
            </w:r>
          </w:p>
        </w:tc>
        <w:tc>
          <w:tcPr>
            <w:tcW w:type="dxa" w:w="1928"/>
            <w:tcMar>
              <w:top w:type="dxa" w:w="70"/>
              <w:left w:type="dxa" w:w="100"/>
              <w:bottom w:type="dxa" w:w="70"/>
              <w:right w:type="dxa" w:w="100"/>
            </w:tcMar>
          </w:tcPr>
          <w:p>
            <w:pPr>
              <w:spacing w:before="0" w:after="0"/>
            </w:pPr>
            <w:r>
              <w:rPr>
                <w:b w:val="false"/>
                <w:bCs w:val="false"/>
                <w:color w:val="0A7A52"/>
                <w:sz w:val="19"/>
                <w:szCs w:val="19"/>
              </w:rPr>
              <w:t xml:space="preserve">[Name, role]</w:t>
            </w:r>
          </w:p>
        </w:tc>
        <w:tc>
          <w:tcPr>
            <w:tcW w:type="dxa" w:w="4819"/>
            <w:tcMar>
              <w:top w:type="dxa" w:w="70"/>
              <w:left w:type="dxa" w:w="100"/>
              <w:bottom w:type="dxa" w:w="70"/>
              <w:right w:type="dxa" w:w="100"/>
            </w:tcMar>
          </w:tcPr>
          <w:p>
            <w:pPr>
              <w:spacing w:before="0" w:after="0"/>
            </w:pPr>
            <w:r>
              <w:rPr>
                <w:b w:val="false"/>
                <w:bCs w:val="false"/>
                <w:sz w:val="19"/>
                <w:szCs w:val="19"/>
              </w:rPr>
              <w:t xml:space="preserve">Covers the nominated officer during absence.</w:t>
            </w:r>
          </w:p>
        </w:tc>
      </w:tr>
      <w:tr>
        <w:trPr>
          <w:cantSplit/>
        </w:trPr>
        <w:tc>
          <w:tcPr>
            <w:tcW w:type="dxa" w:w="2891"/>
            <w:tcMar>
              <w:top w:type="dxa" w:w="70"/>
              <w:left w:type="dxa" w:w="100"/>
              <w:bottom w:type="dxa" w:w="70"/>
              <w:right w:type="dxa" w:w="100"/>
            </w:tcMar>
          </w:tcPr>
          <w:p>
            <w:pPr>
              <w:spacing w:before="0" w:after="0"/>
            </w:pPr>
            <w:r>
              <w:rPr>
                <w:b w:val="false"/>
                <w:bCs w:val="false"/>
                <w:sz w:val="19"/>
                <w:szCs w:val="19"/>
              </w:rPr>
              <w:t xml:space="preserve">All staff</w:t>
            </w:r>
          </w:p>
        </w:tc>
        <w:tc>
          <w:tcPr>
            <w:tcW w:type="dxa" w:w="1928"/>
            <w:tcMar>
              <w:top w:type="dxa" w:w="70"/>
              <w:left w:type="dxa" w:w="100"/>
              <w:bottom w:type="dxa" w:w="70"/>
              <w:right w:type="dxa" w:w="100"/>
            </w:tcMar>
          </w:tcPr>
          <w:p>
            <w:pPr>
              <w:spacing w:before="0" w:after="0"/>
            </w:pPr>
            <w:r>
              <w:rPr>
                <w:b w:val="false"/>
                <w:bCs w:val="false"/>
                <w:sz w:val="19"/>
                <w:szCs w:val="19"/>
              </w:rPr>
              <w:t xml:space="preserve">—</w:t>
            </w:r>
          </w:p>
        </w:tc>
        <w:tc>
          <w:tcPr>
            <w:tcW w:type="dxa" w:w="4819"/>
            <w:tcMar>
              <w:top w:type="dxa" w:w="70"/>
              <w:left w:type="dxa" w:w="100"/>
              <w:bottom w:type="dxa" w:w="70"/>
              <w:right w:type="dxa" w:w="100"/>
            </w:tcMar>
          </w:tcPr>
          <w:p>
            <w:pPr>
              <w:spacing w:before="0" w:after="0"/>
            </w:pPr>
            <w:r>
              <w:rPr>
                <w:b w:val="false"/>
                <w:bCs w:val="false"/>
                <w:sz w:val="19"/>
                <w:szCs w:val="19"/>
              </w:rPr>
              <w:t xml:space="preserve">Follow this policy, complete training, report suspicions to the nominated officer promptly and never tip off.</w:t>
            </w:r>
          </w:p>
        </w:tc>
      </w:tr>
    </w:tbl>
    <w:p>
      <w:pPr>
        <w:spacing w:before="0" w:after="0"/>
      </w:pPr>
    </w:p>
    <w:p>
      <w:pPr>
        <w:spacing w:after="120"/>
      </w:pPr>
      <w:r>
        <w:t xml:space="preserve">We tell HMRC who holds the senior manager and nominated officer roles, and any change, within 14 days of the appointment (regulation 21(4)). Each beneficial owner, officer and manager has passed HMRC’s fit and proper or approval check before taking up the role.</w:t>
      </w:r>
    </w:p>
    <w:tbl>
      <w:tblPr>
        <w:tblW w:type="dxa" w:w="9638"/>
        <w:tblBorders>
          <w:top w:val="none" w:color="FFFFFF" w:sz="0"/>
          <w:left w:val="single" w:color="0A7A52" w:sz="24"/>
          <w:bottom w:val="none" w:color="FFFFFF" w:sz="0"/>
          <w:right w:val="none" w:color="FFFFFF" w:sz="0"/>
          <w:insideH w:val="none" w:color="FFFFFF" w:sz="0"/>
          <w:insideV w:val="none" w:color="FFFFFF" w:sz="0"/>
        </w:tblBorders>
      </w:tblPr>
      <w:tblGrid>
        <w:gridCol w:w="9638"/>
      </w:tblGrid>
      <w:tr>
        <w:tc>
          <w:tcPr>
            <w:tcW w:type="dxa" w:w="9638"/>
            <w:shd w:fill="EEF6F2" w:color="auto" w:val="clear"/>
            <w:tcMar>
              <w:top w:type="dxa" w:w="110"/>
              <w:left w:type="dxa" w:w="180"/>
              <w:bottom w:type="dxa" w:w="110"/>
              <w:right w:type="dxa" w:w="160"/>
            </w:tcMar>
          </w:tcPr>
          <w:p>
            <w:pPr>
              <w:spacing w:before="0" w:after="0"/>
            </w:pPr>
            <w:r>
              <w:rPr>
                <w:b/>
                <w:bCs/>
                <w:color w:val="0E3B2C"/>
                <w:sz w:val="19"/>
                <w:szCs w:val="19"/>
              </w:rPr>
              <w:t xml:space="preserve">Guidance note: </w:t>
            </w:r>
            <w:r>
              <w:rPr>
                <w:sz w:val="19"/>
                <w:szCs w:val="19"/>
              </w:rPr>
              <w:t xml:space="preserve">If you are a sole trader with no employees and you do not act with anyone else, regulation 21(6) means you do not have to appoint a nominated officer or compliance officer, but you still have to report suspicions to the NCA yourself.</w:t>
            </w:r>
          </w:p>
        </w:tc>
      </w:tr>
    </w:tbl>
    <w:p>
      <w:pPr>
        <w:spacing w:before="0" w:after="0"/>
      </w:pPr>
    </w:p>
    <w:p>
      <w:pPr>
        <w:pStyle w:val="Heading1"/>
      </w:pPr>
      <w:r>
        <w:t xml:space="preserve">3. Our risk-based approach</w:t>
      </w:r>
    </w:p>
    <w:p>
      <w:pPr>
        <w:spacing w:after="120"/>
      </w:pPr>
      <w:r>
        <w:t xml:space="preserve">Our firm-wide risk assessment dated </w:t>
      </w:r>
      <w:r>
        <w:rPr>
          <w:color w:val="0A7A52"/>
        </w:rPr>
        <w:t xml:space="preserve">[date]</w:t>
      </w:r>
      <w:r>
        <w:t xml:space="preserve"> identifies the following main risks for our business:</w:t>
      </w:r>
    </w:p>
    <w:p>
      <w:pPr>
        <w:pStyle w:val="ListParagraph"/>
        <w:numPr>
          <w:ilvl w:val="0"/>
          <w:numId w:val="2"/>
        </w:numPr>
        <w:spacing w:after="60"/>
      </w:pPr>
      <w:r>
        <w:rPr>
          <w:color w:val="0A7A52"/>
        </w:rPr>
        <w:t xml:space="preserve">[e.g. cash buyers and buyers with complex funding]</w:t>
      </w:r>
    </w:p>
    <w:p>
      <w:pPr>
        <w:pStyle w:val="ListParagraph"/>
        <w:numPr>
          <w:ilvl w:val="0"/>
          <w:numId w:val="2"/>
        </w:numPr>
        <w:spacing w:after="60"/>
      </w:pPr>
      <w:r>
        <w:rPr>
          <w:color w:val="0A7A52"/>
        </w:rPr>
        <w:t xml:space="preserve">[e.g. overseas buyers or sellers we do not meet in person]</w:t>
      </w:r>
    </w:p>
    <w:p>
      <w:pPr>
        <w:pStyle w:val="ListParagraph"/>
        <w:numPr>
          <w:ilvl w:val="0"/>
          <w:numId w:val="2"/>
        </w:numPr>
        <w:spacing w:after="60"/>
      </w:pPr>
      <w:r>
        <w:rPr>
          <w:color w:val="0A7A52"/>
        </w:rPr>
        <w:t xml:space="preserve">[e.g. properties above £[amount]</w:t>
      </w:r>
      <w:r>
        <w:t xml:space="preserve"> / commercial property]</w:t>
      </w:r>
    </w:p>
    <w:p>
      <w:pPr>
        <w:pStyle w:val="ListParagraph"/>
        <w:numPr>
          <w:ilvl w:val="0"/>
          <w:numId w:val="2"/>
        </w:numPr>
        <w:spacing w:after="60"/>
      </w:pPr>
      <w:r>
        <w:rPr>
          <w:color w:val="0A7A52"/>
        </w:rPr>
        <w:t xml:space="preserve">[e.g. companies, trusts and probate sales]</w:t>
      </w:r>
    </w:p>
    <w:p>
      <w:pPr>
        <w:spacing w:after="120"/>
      </w:pPr>
      <w:r>
        <w:t xml:space="preserve">We use it to decide how much customer due diligence to apply. Every client is given a risk rating of low, medium or high using our client risk assessment form before we start acting.</w:t>
      </w:r>
    </w:p>
    <w:p>
      <w:pPr>
        <w:pStyle w:val="Heading1"/>
      </w:pPr>
      <w:r>
        <w:t xml:space="preserve">4. Customer due diligence (CDD)</w:t>
      </w:r>
    </w:p>
    <w:p>
      <w:pPr>
        <w:pStyle w:val="Heading2"/>
      </w:pPr>
      <w:r>
        <w:t xml:space="preserve">4.1 Who our customers are</w:t>
      </w:r>
    </w:p>
    <w:p>
      <w:pPr>
        <w:spacing w:after="120"/>
      </w:pPr>
      <w:r>
        <w:t xml:space="preserve">Both the </w:t>
      </w:r>
      <w:r>
        <w:rPr>
          <w:b/>
          <w:bCs/>
        </w:rPr>
        <w:t xml:space="preserve">seller</w:t>
      </w:r>
      <w:r>
        <w:t xml:space="preserve"> and the </w:t>
      </w:r>
      <w:r>
        <w:rPr>
          <w:b/>
          <w:bCs/>
        </w:rPr>
        <w:t xml:space="preserve">buyer</w:t>
      </w:r>
      <w:r>
        <w:t xml:space="preserve"> are our customers for every property sale, whoever instructed us (HMRC AMLG2200). We apply CDD to:</w:t>
      </w:r>
    </w:p>
    <w:p>
      <w:pPr>
        <w:pStyle w:val="ListParagraph"/>
        <w:numPr>
          <w:ilvl w:val="0"/>
          <w:numId w:val="2"/>
        </w:numPr>
        <w:spacing w:after="60"/>
      </w:pPr>
      <w:r>
        <w:t xml:space="preserve">every seller and every joint owner (we check current ownership with HM Land Registry);</w:t>
      </w:r>
    </w:p>
    <w:p>
      <w:pPr>
        <w:pStyle w:val="ListParagraph"/>
        <w:numPr>
          <w:ilvl w:val="0"/>
          <w:numId w:val="2"/>
        </w:numPr>
        <w:spacing w:after="60"/>
      </w:pPr>
      <w:r>
        <w:t xml:space="preserve">every buyer whose offer the seller accepts;</w:t>
      </w:r>
    </w:p>
    <w:p>
      <w:pPr>
        <w:pStyle w:val="ListParagraph"/>
        <w:numPr>
          <w:ilvl w:val="0"/>
          <w:numId w:val="2"/>
        </w:numPr>
        <w:spacing w:after="60"/>
      </w:pPr>
      <w:r>
        <w:t xml:space="preserve">anyone acting on behalf of a customer, such as an attorney, executor or company representative, and we check their authority to act (regulation 28(10));</w:t>
      </w:r>
    </w:p>
    <w:p>
      <w:pPr>
        <w:pStyle w:val="ListParagraph"/>
        <w:numPr>
          <w:ilvl w:val="0"/>
          <w:numId w:val="2"/>
        </w:numPr>
        <w:spacing w:after="60"/>
      </w:pPr>
      <w:r>
        <w:t xml:space="preserve">the beneficial owners of any company, partnership or trust customer (regulation 28(4));</w:t>
      </w:r>
    </w:p>
    <w:p>
      <w:pPr>
        <w:pStyle w:val="ListParagraph"/>
        <w:numPr>
          <w:ilvl w:val="0"/>
          <w:numId w:val="2"/>
        </w:numPr>
        <w:spacing w:after="60"/>
      </w:pPr>
      <w:r>
        <w:t xml:space="preserve">for probate sales, all executors or administrators, and we see the grant of probate or letters of administration.</w:t>
      </w:r>
    </w:p>
    <w:p>
      <w:pPr>
        <w:pStyle w:val="Heading2"/>
      </w:pPr>
      <w:r>
        <w:t xml:space="preserve">4.2 When we apply CDD</w:t>
      </w:r>
    </w:p>
    <w:tbl>
      <w:tblPr>
        <w:tblW w:type="dxa" w:w="9638"/>
        <w:tblBorders>
          <w:top w:val="single" w:color="C9D1CD" w:sz="4"/>
          <w:left w:val="single" w:color="C9D1CD" w:sz="4"/>
          <w:bottom w:val="single" w:color="C9D1CD" w:sz="4"/>
          <w:right w:val="single" w:color="C9D1CD" w:sz="4"/>
          <w:insideH w:val="single" w:color="C9D1CD" w:sz="4"/>
          <w:insideV w:val="single" w:color="C9D1CD" w:sz="4"/>
        </w:tblBorders>
      </w:tblPr>
      <w:tblGrid>
        <w:gridCol w:w="2029"/>
        <w:gridCol w:w="7609"/>
      </w:tblGrid>
      <w:tr>
        <w:trPr>
          <w:cantSplit/>
          <w:tblHeader/>
        </w:trPr>
        <w:tc>
          <w:tcPr>
            <w:tcW w:type="dxa" w:w="2029"/>
            <w:shd w:fill="0E3B2C" w:color="auto" w:val="clear"/>
            <w:tcMar>
              <w:top w:type="dxa" w:w="70"/>
              <w:left w:type="dxa" w:w="100"/>
              <w:bottom w:type="dxa" w:w="70"/>
              <w:right w:type="dxa" w:w="100"/>
            </w:tcMar>
          </w:tcPr>
          <w:p>
            <w:pPr>
              <w:spacing w:before="0" w:after="0"/>
            </w:pPr>
            <w:r>
              <w:rPr>
                <w:b/>
                <w:bCs/>
                <w:color w:val="FFFFFF"/>
                <w:sz w:val="19"/>
                <w:szCs w:val="19"/>
              </w:rPr>
              <w:t xml:space="preserve">Customer</w:t>
            </w:r>
          </w:p>
        </w:tc>
        <w:tc>
          <w:tcPr>
            <w:tcW w:type="dxa" w:w="7609"/>
            <w:shd w:fill="0E3B2C" w:color="auto" w:val="clear"/>
            <w:tcMar>
              <w:top w:type="dxa" w:w="70"/>
              <w:left w:type="dxa" w:w="100"/>
              <w:bottom w:type="dxa" w:w="70"/>
              <w:right w:type="dxa" w:w="100"/>
            </w:tcMar>
          </w:tcPr>
          <w:p>
            <w:pPr>
              <w:spacing w:before="0" w:after="0"/>
            </w:pPr>
            <w:r>
              <w:rPr>
                <w:b/>
                <w:bCs/>
                <w:color w:val="FFFFFF"/>
                <w:sz w:val="19"/>
                <w:szCs w:val="19"/>
              </w:rPr>
              <w:t xml:space="preserve">When CDD must be completed</w:t>
            </w:r>
          </w:p>
        </w:tc>
      </w:tr>
      <w:tr>
        <w:trPr>
          <w:cantSplit/>
        </w:trPr>
        <w:tc>
          <w:tcPr>
            <w:tcW w:type="dxa" w:w="2029"/>
            <w:tcMar>
              <w:top w:type="dxa" w:w="70"/>
              <w:left w:type="dxa" w:w="100"/>
              <w:bottom w:type="dxa" w:w="70"/>
              <w:right w:type="dxa" w:w="100"/>
            </w:tcMar>
          </w:tcPr>
          <w:p>
            <w:pPr>
              <w:spacing w:before="0" w:after="0"/>
            </w:pPr>
            <w:r>
              <w:rPr>
                <w:b w:val="false"/>
                <w:bCs w:val="false"/>
                <w:sz w:val="19"/>
                <w:szCs w:val="19"/>
              </w:rPr>
              <w:t xml:space="preserve">Seller</w:t>
            </w:r>
          </w:p>
        </w:tc>
        <w:tc>
          <w:tcPr>
            <w:tcW w:type="dxa" w:w="7609"/>
            <w:tcMar>
              <w:top w:type="dxa" w:w="70"/>
              <w:left w:type="dxa" w:w="100"/>
              <w:bottom w:type="dxa" w:w="70"/>
              <w:right w:type="dxa" w:w="100"/>
            </w:tcMar>
          </w:tcPr>
          <w:p>
            <w:pPr>
              <w:spacing w:before="0" w:after="0"/>
            </w:pPr>
            <w:r>
              <w:rPr>
                <w:b w:val="false"/>
                <w:bCs w:val="false"/>
                <w:sz w:val="19"/>
                <w:szCs w:val="19"/>
              </w:rPr>
              <w:t xml:space="preserve">By the time we sign the agency agreement with the seller, when the business relationship is established and before we market the property. We start as soon as possible after first contact.</w:t>
            </w:r>
          </w:p>
        </w:tc>
      </w:tr>
      <w:tr>
        <w:trPr>
          <w:cantSplit/>
        </w:trPr>
        <w:tc>
          <w:tcPr>
            <w:tcW w:type="dxa" w:w="2029"/>
            <w:tcMar>
              <w:top w:type="dxa" w:w="70"/>
              <w:left w:type="dxa" w:w="100"/>
              <w:bottom w:type="dxa" w:w="70"/>
              <w:right w:type="dxa" w:w="100"/>
            </w:tcMar>
          </w:tcPr>
          <w:p>
            <w:pPr>
              <w:spacing w:before="0" w:after="0"/>
            </w:pPr>
            <w:r>
              <w:rPr>
                <w:b w:val="false"/>
                <w:bCs w:val="false"/>
                <w:sz w:val="19"/>
                <w:szCs w:val="19"/>
              </w:rPr>
              <w:t xml:space="preserve">Buyer</w:t>
            </w:r>
          </w:p>
        </w:tc>
        <w:tc>
          <w:tcPr>
            <w:tcW w:type="dxa" w:w="7609"/>
            <w:tcMar>
              <w:top w:type="dxa" w:w="70"/>
              <w:left w:type="dxa" w:w="100"/>
              <w:bottom w:type="dxa" w:w="70"/>
              <w:right w:type="dxa" w:w="100"/>
            </w:tcMar>
          </w:tcPr>
          <w:p>
            <w:pPr>
              <w:spacing w:before="0" w:after="0"/>
            </w:pPr>
            <w:r>
              <w:rPr>
                <w:b w:val="false"/>
                <w:bCs w:val="false"/>
                <w:sz w:val="19"/>
                <w:szCs w:val="19"/>
              </w:rPr>
              <w:t xml:space="preserve">By the time the seller formally accepts the buyer’s offer, when the business relationship is established (HMRC AMLG2200, sections 15 and 17). We start as soon as possible after first contact and aim to finish before the offer is accepted.</w:t>
            </w:r>
          </w:p>
        </w:tc>
      </w:tr>
      <w:tr>
        <w:trPr>
          <w:cantSplit/>
        </w:trPr>
        <w:tc>
          <w:tcPr>
            <w:tcW w:type="dxa" w:w="2029"/>
            <w:tcMar>
              <w:top w:type="dxa" w:w="70"/>
              <w:left w:type="dxa" w:w="100"/>
              <w:bottom w:type="dxa" w:w="70"/>
              <w:right w:type="dxa" w:w="100"/>
            </w:tcMar>
          </w:tcPr>
          <w:p>
            <w:pPr>
              <w:spacing w:before="0" w:after="0"/>
            </w:pPr>
            <w:r>
              <w:rPr>
                <w:b w:val="false"/>
                <w:bCs w:val="false"/>
                <w:sz w:val="19"/>
                <w:szCs w:val="19"/>
              </w:rPr>
              <w:t xml:space="preserve">Auction buyer</w:t>
            </w:r>
          </w:p>
        </w:tc>
        <w:tc>
          <w:tcPr>
            <w:tcW w:type="dxa" w:w="7609"/>
            <w:tcMar>
              <w:top w:type="dxa" w:w="70"/>
              <w:left w:type="dxa" w:w="100"/>
              <w:bottom w:type="dxa" w:w="70"/>
              <w:right w:type="dxa" w:w="100"/>
            </w:tcMar>
          </w:tcPr>
          <w:p>
            <w:pPr>
              <w:spacing w:before="0" w:after="0"/>
            </w:pPr>
            <w:r>
              <w:rPr>
                <w:b w:val="false"/>
                <w:bCs w:val="false"/>
                <w:sz w:val="19"/>
                <w:szCs w:val="19"/>
              </w:rPr>
              <w:t xml:space="preserve">Before the binding contract forms on the fall of the hammer, by pre-registering bidders or making the sale conditional on CDD.</w:t>
            </w:r>
          </w:p>
        </w:tc>
      </w:tr>
      <w:tr>
        <w:trPr>
          <w:cantSplit/>
        </w:trPr>
        <w:tc>
          <w:tcPr>
            <w:tcW w:type="dxa" w:w="2029"/>
            <w:tcMar>
              <w:top w:type="dxa" w:w="70"/>
              <w:left w:type="dxa" w:w="100"/>
              <w:bottom w:type="dxa" w:w="70"/>
              <w:right w:type="dxa" w:w="100"/>
            </w:tcMar>
          </w:tcPr>
          <w:p>
            <w:pPr>
              <w:spacing w:before="0" w:after="0"/>
            </w:pPr>
            <w:r>
              <w:rPr>
                <w:b w:val="false"/>
                <w:bCs w:val="false"/>
                <w:sz w:val="19"/>
                <w:szCs w:val="19"/>
              </w:rPr>
              <w:t xml:space="preserve">Existing customers</w:t>
            </w:r>
          </w:p>
        </w:tc>
        <w:tc>
          <w:tcPr>
            <w:tcW w:type="dxa" w:w="7609"/>
            <w:tcMar>
              <w:top w:type="dxa" w:w="70"/>
              <w:left w:type="dxa" w:w="100"/>
              <w:bottom w:type="dxa" w:w="70"/>
              <w:right w:type="dxa" w:w="100"/>
            </w:tcMar>
          </w:tcPr>
          <w:p>
            <w:pPr>
              <w:spacing w:before="0" w:after="0"/>
            </w:pPr>
            <w:r>
              <w:rPr>
                <w:b w:val="false"/>
                <w:bCs w:val="false"/>
                <w:sz w:val="19"/>
                <w:szCs w:val="19"/>
              </w:rPr>
              <w:t xml:space="preserve">When their circumstances change, when we have doubts about earlier information, when we suspect money laundering, and at the review intervals in section 8.</w:t>
            </w:r>
          </w:p>
        </w:tc>
      </w:tr>
    </w:tbl>
    <w:p>
      <w:pPr>
        <w:spacing w:before="0" w:after="0"/>
      </w:pPr>
    </w:p>
    <w:p>
      <w:pPr>
        <w:spacing w:after="120"/>
      </w:pPr>
      <w:r>
        <w:t xml:space="preserve">If we cannot complete CDD, we do not proceed, we end any existing relationship and the nominated officer considers whether to make a report (regulation 31).</w:t>
      </w:r>
    </w:p>
    <w:p>
      <w:pPr>
        <w:pStyle w:val="Heading2"/>
      </w:pPr>
      <w:r>
        <w:t xml:space="preserve">4.3 What we collect and verify</w:t>
      </w:r>
    </w:p>
    <w:p>
      <w:pPr>
        <w:spacing w:after="120"/>
      </w:pPr>
      <w:r>
        <w:t xml:space="preserve">We use the CDD checklist in </w:t>
      </w:r>
      <w:r>
        <w:rPr>
          <w:color w:val="0A7A52"/>
        </w:rPr>
        <w:t xml:space="preserve">[Appendix / separate document]</w:t>
      </w:r>
      <w:r>
        <w:t xml:space="preserve"> for every customer. As a minimum:</w:t>
      </w:r>
    </w:p>
    <w:tbl>
      <w:tblPr>
        <w:tblW w:type="dxa" w:w="9638"/>
        <w:tblBorders>
          <w:top w:val="single" w:color="C9D1CD" w:sz="4"/>
          <w:left w:val="single" w:color="C9D1CD" w:sz="4"/>
          <w:bottom w:val="single" w:color="C9D1CD" w:sz="4"/>
          <w:right w:val="single" w:color="C9D1CD" w:sz="4"/>
          <w:insideH w:val="single" w:color="C9D1CD" w:sz="4"/>
          <w:insideV w:val="single" w:color="C9D1CD" w:sz="4"/>
        </w:tblBorders>
      </w:tblPr>
      <w:tblGrid>
        <w:gridCol w:w="1586"/>
        <w:gridCol w:w="3660"/>
        <w:gridCol w:w="4392"/>
      </w:tblGrid>
      <w:tr>
        <w:trPr>
          <w:cantSplit/>
          <w:tblHeader/>
        </w:trPr>
        <w:tc>
          <w:tcPr>
            <w:tcW w:type="dxa" w:w="1586"/>
            <w:shd w:fill="0E3B2C" w:color="auto" w:val="clear"/>
            <w:tcMar>
              <w:top w:type="dxa" w:w="70"/>
              <w:left w:type="dxa" w:w="100"/>
              <w:bottom w:type="dxa" w:w="70"/>
              <w:right w:type="dxa" w:w="100"/>
            </w:tcMar>
          </w:tcPr>
          <w:p>
            <w:pPr>
              <w:spacing w:before="0" w:after="0"/>
            </w:pPr>
            <w:r>
              <w:rPr>
                <w:b/>
                <w:bCs/>
                <w:color w:val="FFFFFF"/>
                <w:sz w:val="19"/>
                <w:szCs w:val="19"/>
              </w:rPr>
              <w:t xml:space="preserve">Customer type</w:t>
            </w:r>
          </w:p>
        </w:tc>
        <w:tc>
          <w:tcPr>
            <w:tcW w:type="dxa" w:w="3660"/>
            <w:shd w:fill="0E3B2C" w:color="auto" w:val="clear"/>
            <w:tcMar>
              <w:top w:type="dxa" w:w="70"/>
              <w:left w:type="dxa" w:w="100"/>
              <w:bottom w:type="dxa" w:w="70"/>
              <w:right w:type="dxa" w:w="100"/>
            </w:tcMar>
          </w:tcPr>
          <w:p>
            <w:pPr>
              <w:spacing w:before="0" w:after="0"/>
            </w:pPr>
            <w:r>
              <w:rPr>
                <w:b/>
                <w:bCs/>
                <w:color w:val="FFFFFF"/>
                <w:sz w:val="19"/>
                <w:szCs w:val="19"/>
              </w:rPr>
              <w:t xml:space="preserve">Identify</w:t>
            </w:r>
          </w:p>
        </w:tc>
        <w:tc>
          <w:tcPr>
            <w:tcW w:type="dxa" w:w="4392"/>
            <w:shd w:fill="0E3B2C" w:color="auto" w:val="clear"/>
            <w:tcMar>
              <w:top w:type="dxa" w:w="70"/>
              <w:left w:type="dxa" w:w="100"/>
              <w:bottom w:type="dxa" w:w="70"/>
              <w:right w:type="dxa" w:w="100"/>
            </w:tcMar>
          </w:tcPr>
          <w:p>
            <w:pPr>
              <w:spacing w:before="0" w:after="0"/>
            </w:pPr>
            <w:r>
              <w:rPr>
                <w:b/>
                <w:bCs/>
                <w:color w:val="FFFFFF"/>
                <w:sz w:val="19"/>
                <w:szCs w:val="19"/>
              </w:rPr>
              <w:t xml:space="preserve">Verify</w:t>
            </w:r>
          </w:p>
        </w:tc>
      </w:tr>
      <w:tr>
        <w:trPr>
          <w:cantSplit/>
        </w:trPr>
        <w:tc>
          <w:tcPr>
            <w:tcW w:type="dxa" w:w="1586"/>
            <w:tcMar>
              <w:top w:type="dxa" w:w="70"/>
              <w:left w:type="dxa" w:w="100"/>
              <w:bottom w:type="dxa" w:w="70"/>
              <w:right w:type="dxa" w:w="100"/>
            </w:tcMar>
          </w:tcPr>
          <w:p>
            <w:pPr>
              <w:spacing w:before="0" w:after="0"/>
            </w:pPr>
            <w:r>
              <w:rPr>
                <w:b w:val="false"/>
                <w:bCs w:val="false"/>
                <w:sz w:val="19"/>
                <w:szCs w:val="19"/>
              </w:rPr>
              <w:t xml:space="preserve">Individual</w:t>
            </w:r>
          </w:p>
        </w:tc>
        <w:tc>
          <w:tcPr>
            <w:tcW w:type="dxa" w:w="3660"/>
            <w:tcMar>
              <w:top w:type="dxa" w:w="70"/>
              <w:left w:type="dxa" w:w="100"/>
              <w:bottom w:type="dxa" w:w="70"/>
              <w:right w:type="dxa" w:w="100"/>
            </w:tcMar>
          </w:tcPr>
          <w:p>
            <w:pPr>
              <w:spacing w:before="0" w:after="0"/>
            </w:pPr>
            <w:r>
              <w:rPr>
                <w:b w:val="false"/>
                <w:bCs w:val="false"/>
                <w:sz w:val="19"/>
                <w:szCs w:val="19"/>
              </w:rPr>
              <w:t xml:space="preserve">Full name, date of birth, residential address</w:t>
            </w:r>
          </w:p>
        </w:tc>
        <w:tc>
          <w:tcPr>
            <w:tcW w:type="dxa" w:w="4392"/>
            <w:tcMar>
              <w:top w:type="dxa" w:w="70"/>
              <w:left w:type="dxa" w:w="100"/>
              <w:bottom w:type="dxa" w:w="70"/>
              <w:right w:type="dxa" w:w="100"/>
            </w:tcMar>
          </w:tcPr>
          <w:p>
            <w:pPr>
              <w:spacing w:before="0" w:after="0"/>
            </w:pPr>
            <w:r>
              <w:rPr>
                <w:b w:val="false"/>
                <w:bCs w:val="false"/>
                <w:sz w:val="19"/>
                <w:szCs w:val="19"/>
              </w:rPr>
              <w:t xml:space="preserve">Photo ID (passport or photocard driving licence) plus proof of address, or an electronic check from a reliable, independent source</w:t>
            </w:r>
          </w:p>
        </w:tc>
      </w:tr>
      <w:tr>
        <w:trPr>
          <w:cantSplit/>
        </w:trPr>
        <w:tc>
          <w:tcPr>
            <w:tcW w:type="dxa" w:w="1586"/>
            <w:tcMar>
              <w:top w:type="dxa" w:w="70"/>
              <w:left w:type="dxa" w:w="100"/>
              <w:bottom w:type="dxa" w:w="70"/>
              <w:right w:type="dxa" w:w="100"/>
            </w:tcMar>
          </w:tcPr>
          <w:p>
            <w:pPr>
              <w:spacing w:before="0" w:after="0"/>
            </w:pPr>
            <w:r>
              <w:rPr>
                <w:b w:val="false"/>
                <w:bCs w:val="false"/>
                <w:sz w:val="19"/>
                <w:szCs w:val="19"/>
              </w:rPr>
              <w:t xml:space="preserve">Company</w:t>
            </w:r>
          </w:p>
        </w:tc>
        <w:tc>
          <w:tcPr>
            <w:tcW w:type="dxa" w:w="3660"/>
            <w:tcMar>
              <w:top w:type="dxa" w:w="70"/>
              <w:left w:type="dxa" w:w="100"/>
              <w:bottom w:type="dxa" w:w="70"/>
              <w:right w:type="dxa" w:w="100"/>
            </w:tcMar>
          </w:tcPr>
          <w:p>
            <w:pPr>
              <w:spacing w:before="0" w:after="0"/>
            </w:pPr>
            <w:r>
              <w:rPr>
                <w:b w:val="false"/>
                <w:bCs w:val="false"/>
                <w:sz w:val="19"/>
                <w:szCs w:val="19"/>
              </w:rPr>
              <w:t xml:space="preserve">Name, registration number, registered office and principal place of business, directors, beneficial owners (over 25%) and ownership structure</w:t>
            </w:r>
          </w:p>
        </w:tc>
        <w:tc>
          <w:tcPr>
            <w:tcW w:type="dxa" w:w="4392"/>
            <w:tcMar>
              <w:top w:type="dxa" w:w="70"/>
              <w:left w:type="dxa" w:w="100"/>
              <w:bottom w:type="dxa" w:w="70"/>
              <w:right w:type="dxa" w:w="100"/>
            </w:tcMar>
          </w:tcPr>
          <w:p>
            <w:pPr>
              <w:spacing w:before="0" w:after="0"/>
            </w:pPr>
            <w:r>
              <w:rPr>
                <w:b w:val="false"/>
                <w:bCs w:val="false"/>
                <w:sz w:val="19"/>
                <w:szCs w:val="19"/>
              </w:rPr>
              <w:t xml:space="preserve">Companies House record, and ID for at least one director or person acting and each beneficial owner on a risk basis. We do not rely only on the Companies House register for beneficial owners (regulation 28(9))</w:t>
            </w:r>
          </w:p>
        </w:tc>
      </w:tr>
      <w:tr>
        <w:trPr>
          <w:cantSplit/>
        </w:trPr>
        <w:tc>
          <w:tcPr>
            <w:tcW w:type="dxa" w:w="1586"/>
            <w:tcMar>
              <w:top w:type="dxa" w:w="70"/>
              <w:left w:type="dxa" w:w="100"/>
              <w:bottom w:type="dxa" w:w="70"/>
              <w:right w:type="dxa" w:w="100"/>
            </w:tcMar>
          </w:tcPr>
          <w:p>
            <w:pPr>
              <w:spacing w:before="0" w:after="0"/>
            </w:pPr>
            <w:r>
              <w:rPr>
                <w:b w:val="false"/>
                <w:bCs w:val="false"/>
                <w:sz w:val="19"/>
                <w:szCs w:val="19"/>
              </w:rPr>
              <w:t xml:space="preserve">Trust</w:t>
            </w:r>
          </w:p>
        </w:tc>
        <w:tc>
          <w:tcPr>
            <w:tcW w:type="dxa" w:w="3660"/>
            <w:tcMar>
              <w:top w:type="dxa" w:w="70"/>
              <w:left w:type="dxa" w:w="100"/>
              <w:bottom w:type="dxa" w:w="70"/>
              <w:right w:type="dxa" w:w="100"/>
            </w:tcMar>
          </w:tcPr>
          <w:p>
            <w:pPr>
              <w:spacing w:before="0" w:after="0"/>
            </w:pPr>
            <w:r>
              <w:rPr>
                <w:b w:val="false"/>
                <w:bCs w:val="false"/>
                <w:sz w:val="19"/>
                <w:szCs w:val="19"/>
              </w:rPr>
              <w:t xml:space="preserve">Name, settlor, trustees, beneficiaries or class, protector, anyone with control</w:t>
            </w:r>
          </w:p>
        </w:tc>
        <w:tc>
          <w:tcPr>
            <w:tcW w:type="dxa" w:w="4392"/>
            <w:tcMar>
              <w:top w:type="dxa" w:w="70"/>
              <w:left w:type="dxa" w:w="100"/>
              <w:bottom w:type="dxa" w:w="70"/>
              <w:right w:type="dxa" w:w="100"/>
            </w:tcMar>
          </w:tcPr>
          <w:p>
            <w:pPr>
              <w:spacing w:before="0" w:after="0"/>
            </w:pPr>
            <w:r>
              <w:rPr>
                <w:b w:val="false"/>
                <w:bCs w:val="false"/>
                <w:sz w:val="19"/>
                <w:szCs w:val="19"/>
              </w:rPr>
              <w:t xml:space="preserve">Trust deed or extract, ID for trustees and others on a risk basis, Trust Registration Service proof where registrable</w:t>
            </w:r>
          </w:p>
        </w:tc>
      </w:tr>
    </w:tbl>
    <w:p>
      <w:pPr>
        <w:spacing w:before="0" w:after="0"/>
      </w:pPr>
    </w:p>
    <w:p>
      <w:pPr>
        <w:spacing w:after="120"/>
      </w:pPr>
      <w:r>
        <w:t xml:space="preserve">We also find out the purpose and intended nature of the relationship (regulation 28(2)(c)) and, for buyers, how the purchase will be funded (section 4.6).</w:t>
      </w:r>
    </w:p>
    <w:p>
      <w:pPr>
        <w:spacing w:after="120"/>
      </w:pPr>
      <w:r>
        <w:t xml:space="preserve">Where a company or registrable trust is the customer, we check the relevant register before we start and report any material discrepancy in beneficial ownership information to Companies House or HMRC (regulation 30A).</w:t>
      </w:r>
    </w:p>
    <w:p>
      <w:pPr>
        <w:pStyle w:val="Heading2"/>
      </w:pPr>
      <w:r>
        <w:t xml:space="preserve">4.4 Electronic identity verification</w:t>
      </w:r>
    </w:p>
    <w:p>
      <w:pPr>
        <w:spacing w:after="120"/>
      </w:pPr>
      <w:r>
        <w:t xml:space="preserve">We verify identity using </w:t>
      </w:r>
      <w:r>
        <w:rPr>
          <w:color w:val="0A7A52"/>
        </w:rPr>
        <w:t xml:space="preserve">[documents seen in person / certified copies / an electronic identity verification service / a combination]</w:t>
      </w:r>
      <w:r>
        <w:t xml:space="preserve">. If you want to run electronic ID and screening checks, you can use a provider of your choice; for example, AML Buddy (amlbuddy.com) sends the client a secure link for ID document and selfie verification, address matching, sanctions, PEP and adverse media screening, and produces a timestamped report for your file.</w:t>
      </w:r>
    </w:p>
    <w:tbl>
      <w:tblPr>
        <w:tblW w:type="dxa" w:w="9638"/>
        <w:tblBorders>
          <w:top w:val="none" w:color="FFFFFF" w:sz="0"/>
          <w:left w:val="single" w:color="0A7A52" w:sz="24"/>
          <w:bottom w:val="none" w:color="FFFFFF" w:sz="0"/>
          <w:right w:val="none" w:color="FFFFFF" w:sz="0"/>
          <w:insideH w:val="none" w:color="FFFFFF" w:sz="0"/>
          <w:insideV w:val="none" w:color="FFFFFF" w:sz="0"/>
        </w:tblBorders>
      </w:tblPr>
      <w:tblGrid>
        <w:gridCol w:w="9638"/>
      </w:tblGrid>
      <w:tr>
        <w:tc>
          <w:tcPr>
            <w:tcW w:type="dxa" w:w="9638"/>
            <w:shd w:fill="EEF6F2" w:color="auto" w:val="clear"/>
            <w:tcMar>
              <w:top w:type="dxa" w:w="110"/>
              <w:left w:type="dxa" w:w="180"/>
              <w:bottom w:type="dxa" w:w="110"/>
              <w:right w:type="dxa" w:w="160"/>
            </w:tcMar>
          </w:tcPr>
          <w:p>
            <w:pPr>
              <w:spacing w:before="0" w:after="0"/>
            </w:pPr>
            <w:r>
              <w:rPr>
                <w:b/>
                <w:bCs/>
                <w:color w:val="0E3B2C"/>
                <w:sz w:val="19"/>
                <w:szCs w:val="19"/>
              </w:rPr>
              <w:t xml:space="preserve">Guidance note: </w:t>
            </w:r>
            <w:r>
              <w:rPr>
                <w:sz w:val="19"/>
                <w:szCs w:val="19"/>
              </w:rPr>
              <w:t xml:space="preserve">HMRC’s guidance (AMLG11400, section 14.5) says digital verification services certified against the UK digital identity and attributes trust framework and listed on the government’s DVS register are a reliable and independent source, and that a provider not on the register cannot reliably be deemed suitable. Record which provider you use, why you consider it reliable, and keep its report on file. Electronic checks are optional; document checks are still allowed.</w:t>
            </w:r>
          </w:p>
        </w:tc>
      </w:tr>
    </w:tbl>
    <w:p>
      <w:pPr>
        <w:spacing w:before="0" w:after="0"/>
      </w:pPr>
    </w:p>
    <w:p>
      <w:pPr>
        <w:pStyle w:val="Heading2"/>
      </w:pPr>
      <w:r>
        <w:t xml:space="preserve">4.5 Enhanced due diligence (EDD)</w:t>
      </w:r>
    </w:p>
    <w:p>
      <w:pPr>
        <w:spacing w:after="120"/>
      </w:pPr>
      <w:r>
        <w:t xml:space="preserve">We apply EDD and enhanced ongoing monitoring (regulation 33) where:</w:t>
      </w:r>
    </w:p>
    <w:p>
      <w:pPr>
        <w:pStyle w:val="ListParagraph"/>
        <w:numPr>
          <w:ilvl w:val="0"/>
          <w:numId w:val="2"/>
        </w:numPr>
        <w:spacing w:after="60"/>
      </w:pPr>
      <w:r>
        <w:t xml:space="preserve">our risk assessment or the client risk assessment shows a high risk;</w:t>
      </w:r>
    </w:p>
    <w:p>
      <w:pPr>
        <w:pStyle w:val="ListParagraph"/>
        <w:numPr>
          <w:ilvl w:val="0"/>
          <w:numId w:val="2"/>
        </w:numPr>
        <w:spacing w:after="60"/>
      </w:pPr>
      <w:r>
        <w:t xml:space="preserve">the customer or a party to the transaction is established in a FATF “call for action” country (check the current FATF list; at the 19 June 2026 update this was North Korea, Iran and Myanmar);</w:t>
      </w:r>
    </w:p>
    <w:p>
      <w:pPr>
        <w:pStyle w:val="ListParagraph"/>
        <w:numPr>
          <w:ilvl w:val="0"/>
          <w:numId w:val="2"/>
        </w:numPr>
        <w:spacing w:after="60"/>
      </w:pPr>
      <w:r>
        <w:t xml:space="preserve">the customer, a beneficial owner or a family member or known close associate is a politically exposed person (PEP);</w:t>
      </w:r>
    </w:p>
    <w:p>
      <w:pPr>
        <w:pStyle w:val="ListParagraph"/>
        <w:numPr>
          <w:ilvl w:val="0"/>
          <w:numId w:val="2"/>
        </w:numPr>
        <w:spacing w:after="60"/>
      </w:pPr>
      <w:r>
        <w:t xml:space="preserve">the customer has given false or stolen identity documents or information (we also consider a report immediately);</w:t>
      </w:r>
    </w:p>
    <w:p>
      <w:pPr>
        <w:pStyle w:val="ListParagraph"/>
        <w:numPr>
          <w:ilvl w:val="0"/>
          <w:numId w:val="2"/>
        </w:numPr>
        <w:spacing w:after="60"/>
      </w:pPr>
      <w:r>
        <w:t xml:space="preserve">the transaction is unusually complex or unusually large for its nature, follows an unusual pattern or has no apparent economic or legal purpose;</w:t>
      </w:r>
    </w:p>
    <w:p>
      <w:pPr>
        <w:pStyle w:val="ListParagraph"/>
        <w:numPr>
          <w:ilvl w:val="0"/>
          <w:numId w:val="2"/>
        </w:numPr>
        <w:spacing w:after="60"/>
      </w:pPr>
      <w:r>
        <w:t xml:space="preserve">any other situation that by its nature presents a higher risk.</w:t>
      </w:r>
    </w:p>
    <w:p>
      <w:pPr>
        <w:spacing w:after="120"/>
      </w:pPr>
      <w:r>
        <w:t xml:space="preserve">EDD for us means: </w:t>
      </w:r>
      <w:r>
        <w:rPr>
          <w:color w:val="0A7A52"/>
        </w:rPr>
        <w:t xml:space="preserve">[more evidence of identity and address / evidence of source of funds and source of wealth / senior manager approval before we act / more frequent monitoring / face-to-face or video meeting / other]</w:t>
      </w:r>
      <w:r>
        <w:t xml:space="preserve">. The senior manager approves every high-risk customer before we act and records the reasons.</w:t>
      </w:r>
    </w:p>
    <w:p>
      <w:pPr>
        <w:pStyle w:val="Heading2"/>
      </w:pPr>
      <w:r>
        <w:t xml:space="preserve">4.6 Politically exposed persons</w:t>
      </w:r>
    </w:p>
    <w:p>
      <w:pPr>
        <w:spacing w:after="120"/>
      </w:pPr>
      <w:r>
        <w:t xml:space="preserve">We screen every customer and beneficial owner for PEP status </w:t>
      </w:r>
      <w:r>
        <w:rPr>
          <w:color w:val="0A7A52"/>
        </w:rPr>
        <w:t xml:space="preserve">[at onboarding and through ongoing screening]</w:t>
      </w:r>
      <w:r>
        <w:t xml:space="preserve">. For a PEP, a family member or a known close associate we: obtain senior management approval to act (regulation 35), take adequate measures to establish source of wealth and source of funds, and apply enhanced ongoing monitoring. A UK PEP is treated as lower risk unless other factors point to higher risk, and we scale our measures accordingly (HMRC AMLG11650). We continue EDD for at least 12 months after a PEP leaves office.</w:t>
      </w:r>
    </w:p>
    <w:p>
      <w:pPr>
        <w:pStyle w:val="Heading2"/>
      </w:pPr>
      <w:r>
        <w:t xml:space="preserve">4.7 Source of funds for buyers</w:t>
      </w:r>
    </w:p>
    <w:p>
      <w:pPr>
        <w:spacing w:after="120"/>
      </w:pPr>
      <w:r>
        <w:t xml:space="preserve">For every buyer we ask how the purchase will be funded and record the answer. We ask for evidence where the buyer is a cash buyer, the funds look disproportionate to the buyer’s profile, there is a gifted deposit, funds come from a third party or abroad, or the source changes during the transaction. The nominated officer reviews anything that does not make sense.</w:t>
      </w:r>
    </w:p>
    <w:p>
      <w:pPr>
        <w:pStyle w:val="Heading2"/>
      </w:pPr>
      <w:r>
        <w:t xml:space="preserve">4.8 Simplified due diligence</w:t>
      </w:r>
    </w:p>
    <w:p>
      <w:pPr>
        <w:spacing w:after="120"/>
      </w:pPr>
      <w:r>
        <w:rPr>
          <w:color w:val="0A7A52"/>
        </w:rPr>
        <w:t xml:space="preserve">[We do not apply simplified due diligence.]</w:t>
      </w:r>
      <w:r>
        <w:t xml:space="preserve"> / </w:t>
      </w:r>
      <w:r>
        <w:rPr>
          <w:color w:val="0A7A52"/>
        </w:rPr>
        <w:t xml:space="preserve">[We apply simplified due diligence only where our risk assessment and the client risk assessment show a low risk and regulation 37 applies, and we record why.]</w:t>
      </w:r>
    </w:p>
    <w:p>
      <w:pPr>
        <w:pStyle w:val="Heading2"/>
      </w:pPr>
      <w:r>
        <w:t xml:space="preserve">4.9 Sanctions</w:t>
      </w:r>
    </w:p>
    <w:p>
      <w:pPr>
        <w:spacing w:after="120"/>
      </w:pPr>
      <w:r>
        <w:t xml:space="preserve">We check every customer and beneficial owner against the UK sanctions list. If there is a match, we stop work, do not deal with any funds or property, and contact the nominated officer, who decides on reporting to the Office of Financial Sanctions Implementation (OFSI) and the NCA.</w:t>
      </w:r>
    </w:p>
    <w:p>
      <w:pPr>
        <w:pStyle w:val="Heading2"/>
      </w:pPr>
      <w:r>
        <w:t xml:space="preserve">4.10 Reliance</w:t>
      </w:r>
    </w:p>
    <w:p>
      <w:pPr>
        <w:spacing w:after="120"/>
      </w:pPr>
      <w:r>
        <w:rPr>
          <w:color w:val="0A7A52"/>
        </w:rPr>
        <w:t xml:space="preserve">[We do not rely on other firms to carry out CDD for us.]</w:t>
      </w:r>
      <w:r>
        <w:t xml:space="preserve"> / </w:t>
      </w:r>
      <w:r>
        <w:rPr>
          <w:color w:val="0A7A52"/>
        </w:rPr>
        <w:t xml:space="preserve">[We rely on [firm type]</w:t>
      </w:r>
      <w:r>
        <w:t xml:space="preserve"> only under a written agreement meeting regulation 39. We remain liable for any failure in the CDD.] We do not treat a solicitor’s or lender’s checks as a replacement for our own.</w:t>
      </w:r>
    </w:p>
    <w:p>
      <w:pPr>
        <w:pStyle w:val="Heading1"/>
      </w:pPr>
      <w:r>
        <w:t xml:space="preserve">5. Red flags for estate agency</w:t>
      </w:r>
    </w:p>
    <w:p>
      <w:pPr>
        <w:spacing w:after="120"/>
      </w:pPr>
      <w:r>
        <w:t xml:space="preserve">Staff must tell the nominated officer if they notice, for example:</w:t>
      </w:r>
    </w:p>
    <w:p>
      <w:pPr>
        <w:pStyle w:val="ListParagraph"/>
        <w:numPr>
          <w:ilvl w:val="0"/>
          <w:numId w:val="2"/>
        </w:numPr>
        <w:spacing w:after="60"/>
      </w:pPr>
      <w:r>
        <w:t xml:space="preserve">a customer who is evasive, refuses CDD or source of funds questions, or does not want to view the property;</w:t>
      </w:r>
    </w:p>
    <w:p>
      <w:pPr>
        <w:pStyle w:val="ListParagraph"/>
        <w:numPr>
          <w:ilvl w:val="0"/>
          <w:numId w:val="2"/>
        </w:numPr>
        <w:spacing w:after="60"/>
      </w:pPr>
      <w:r>
        <w:t xml:space="preserve">a price significantly above or below market value, or a transaction that moves unusually fast;</w:t>
      </w:r>
    </w:p>
    <w:p>
      <w:pPr>
        <w:pStyle w:val="ListParagraph"/>
        <w:numPr>
          <w:ilvl w:val="0"/>
          <w:numId w:val="2"/>
        </w:numPr>
        <w:spacing w:after="60"/>
      </w:pPr>
      <w:r>
        <w:t xml:space="preserve">cash, cryptoassets, overpayments or requests for refunds to a different account;</w:t>
      </w:r>
    </w:p>
    <w:p>
      <w:pPr>
        <w:pStyle w:val="ListParagraph"/>
        <w:numPr>
          <w:ilvl w:val="0"/>
          <w:numId w:val="2"/>
        </w:numPr>
        <w:spacing w:after="60"/>
      </w:pPr>
      <w:r>
        <w:t xml:space="preserve">payments from third parties with no clear connection to the transaction;</w:t>
      </w:r>
    </w:p>
    <w:p>
      <w:pPr>
        <w:pStyle w:val="ListParagraph"/>
        <w:numPr>
          <w:ilvl w:val="0"/>
          <w:numId w:val="2"/>
        </w:numPr>
        <w:spacing w:after="60"/>
      </w:pPr>
      <w:r>
        <w:t xml:space="preserve">an unexplained connection between buyer and seller, or parties introduced late;</w:t>
      </w:r>
    </w:p>
    <w:p>
      <w:pPr>
        <w:pStyle w:val="ListParagraph"/>
        <w:numPr>
          <w:ilvl w:val="0"/>
          <w:numId w:val="2"/>
        </w:numPr>
        <w:spacing w:after="60"/>
      </w:pPr>
      <w:r>
        <w:t xml:space="preserve">complex company, trust or overseas structures with no clear reason, or beneficial owners we cannot identify;</w:t>
      </w:r>
    </w:p>
    <w:p>
      <w:pPr>
        <w:pStyle w:val="ListParagraph"/>
        <w:numPr>
          <w:ilvl w:val="0"/>
          <w:numId w:val="2"/>
        </w:numPr>
        <w:spacing w:after="60"/>
      </w:pPr>
      <w:r>
        <w:t xml:space="preserve">repeated sales of the same property, or unexplained changes in value between listings;</w:t>
      </w:r>
    </w:p>
    <w:p>
      <w:pPr>
        <w:pStyle w:val="ListParagraph"/>
        <w:numPr>
          <w:ilvl w:val="0"/>
          <w:numId w:val="2"/>
        </w:numPr>
        <w:spacing w:after="60"/>
      </w:pPr>
      <w:r>
        <w:t xml:space="preserve">a last-minute change of lender, funding or bank account;</w:t>
      </w:r>
    </w:p>
    <w:p>
      <w:pPr>
        <w:pStyle w:val="ListParagraph"/>
        <w:numPr>
          <w:ilvl w:val="0"/>
          <w:numId w:val="2"/>
        </w:numPr>
        <w:spacing w:after="60"/>
      </w:pPr>
      <w:r>
        <w:t xml:space="preserve">links to sanctions, adverse media or cash-intensive businesses.</w:t>
      </w:r>
    </w:p>
    <w:p>
      <w:r>
        <w:rPr>
          <w:color w:val="5F6663"/>
          <w:sz w:val="18"/>
          <w:szCs w:val="18"/>
        </w:rPr>
        <w:t xml:space="preserve">Based on HMRC AMLG3200 Risk assessment of estate agency businesses.</w:t>
      </w:r>
    </w:p>
    <w:p>
      <w:pPr>
        <w:pStyle w:val="Heading1"/>
      </w:pPr>
      <w:r>
        <w:t xml:space="preserve">6. Letting agency work (delete if not applicable)</w:t>
      </w:r>
    </w:p>
    <w:p>
      <w:pPr>
        <w:spacing w:after="120"/>
      </w:pPr>
      <w:r>
        <w:t xml:space="preserve">We apply the MLRs to lettings for a term of a month or more at a monthly rent of £10,000 or more, and where the rent is just below and likely to rise above that level during the agreement (HMRC AMLG2300).</w:t>
      </w:r>
    </w:p>
    <w:p>
      <w:pPr>
        <w:pStyle w:val="ListParagraph"/>
        <w:numPr>
          <w:ilvl w:val="0"/>
          <w:numId w:val="2"/>
        </w:numPr>
        <w:spacing w:after="60"/>
      </w:pPr>
      <w:r>
        <w:t xml:space="preserve">Our customers are the landlord and the tenant, and also guarantors, trustees and agents who are party to the agreement.</w:t>
      </w:r>
    </w:p>
    <w:p>
      <w:pPr>
        <w:pStyle w:val="ListParagraph"/>
        <w:numPr>
          <w:ilvl w:val="0"/>
          <w:numId w:val="2"/>
        </w:numPr>
        <w:spacing w:after="60"/>
      </w:pPr>
      <w:r>
        <w:t xml:space="preserve">We verify the landlord before any agreement is made and before the property is advertised.</w:t>
      </w:r>
    </w:p>
    <w:p>
      <w:pPr>
        <w:pStyle w:val="ListParagraph"/>
        <w:numPr>
          <w:ilvl w:val="0"/>
          <w:numId w:val="2"/>
        </w:numPr>
        <w:spacing w:after="60"/>
      </w:pPr>
      <w:r>
        <w:t xml:space="preserve">We verify the tenant and any guarantor before any agreement or contract is made, and we take no holding deposit before CDD is complete.</w:t>
      </w:r>
    </w:p>
    <w:p>
      <w:pPr>
        <w:pStyle w:val="ListParagraph"/>
        <w:numPr>
          <w:ilvl w:val="0"/>
          <w:numId w:val="2"/>
        </w:numPr>
        <w:spacing w:after="60"/>
      </w:pPr>
      <w:r>
        <w:t xml:space="preserve">We monitor the relationship for the duration of the tenancy.</w:t>
      </w:r>
    </w:p>
    <w:p>
      <w:pPr>
        <w:pStyle w:val="Heading1"/>
      </w:pPr>
      <w:r>
        <w:t xml:space="preserve">7. Suspicious activity reporting</w:t>
      </w:r>
    </w:p>
    <w:p>
      <w:pPr>
        <w:spacing w:after="120"/>
      </w:pPr>
      <w:r>
        <w:t xml:space="preserve">Anyone who knows or suspects, or has reasonable grounds to know or suspect, that a person is engaged in money laundering or terrorist financing must report it to the nominated officer as soon as practicable using the internal report form </w:t>
      </w:r>
      <w:r>
        <w:rPr>
          <w:color w:val="0A7A52"/>
        </w:rPr>
        <w:t xml:space="preserve">[location]</w:t>
      </w:r>
      <w:r>
        <w:t xml:space="preserve">. Staff must not discuss the matter with the customer or anyone else (tipping off is an offence under section 333A POCA).</w:t>
      </w:r>
    </w:p>
    <w:p>
      <w:pPr>
        <w:spacing w:after="120"/>
      </w:pPr>
      <w:r>
        <w:t xml:space="preserve">The nominated officer considers each internal report against the information available and decides whether to submit a suspicious activity report (SAR) to the NCA (regulation 21(5)). Where the firm needs to continue with a transaction that may involve criminal property, the nominated officer requests a defence against money laundering (DAML) and we do not proceed until consent is given or the notice period has passed. The nominated officer keeps a record of every internal report and decision, including reasons for not reporting.</w:t>
      </w:r>
    </w:p>
    <w:p>
      <w:pPr>
        <w:spacing w:after="120"/>
      </w:pPr>
      <w:r>
        <w:t xml:space="preserve">We do not assume that the buyer’s or seller’s solicitor, the lender or another agent will report. Each firm has its own duty.</w:t>
      </w:r>
    </w:p>
    <w:p>
      <w:pPr>
        <w:pStyle w:val="Heading1"/>
      </w:pPr>
      <w:r>
        <w:t xml:space="preserve">8. Ongoing monitoring</w:t>
      </w:r>
    </w:p>
    <w:p>
      <w:pPr>
        <w:spacing w:after="120"/>
      </w:pPr>
      <w:r>
        <w:t xml:space="preserve">We monitor each business relationship until completion or withdrawal (regulation 28(11)). This includes scrutinising changes in the transaction or funding, keeping CDD information up to date and re-screening customers </w:t>
      </w:r>
      <w:r>
        <w:rPr>
          <w:color w:val="0A7A52"/>
        </w:rPr>
        <w:t xml:space="preserve">[continuously / at each key stage / at intervals set by risk]</w:t>
      </w:r>
      <w:r>
        <w:t xml:space="preserve">. We refresh CDD on </w:t>
      </w:r>
      <w:r>
        <w:rPr>
          <w:color w:val="0A7A52"/>
        </w:rPr>
        <w:t xml:space="preserve">[low risk: when circumstances change]</w:t>
      </w:r>
      <w:r>
        <w:t xml:space="preserve">, </w:t>
      </w:r>
      <w:r>
        <w:rPr>
          <w:color w:val="0A7A52"/>
        </w:rPr>
        <w:t xml:space="preserve">[medium risk: every [12]</w:t>
      </w:r>
      <w:r>
        <w:t xml:space="preserve"> months], </w:t>
      </w:r>
      <w:r>
        <w:rPr>
          <w:color w:val="0A7A52"/>
        </w:rPr>
        <w:t xml:space="preserve">[high risk: every [6]</w:t>
      </w:r>
      <w:r>
        <w:t xml:space="preserve"> months] for any relationship that lasts that long.</w:t>
      </w:r>
    </w:p>
    <w:p>
      <w:pPr>
        <w:pStyle w:val="Heading1"/>
      </w:pPr>
      <w:r>
        <w:t xml:space="preserve">9. Training and awareness</w:t>
      </w:r>
    </w:p>
    <w:p>
      <w:pPr>
        <w:spacing w:after="120"/>
      </w:pPr>
      <w:r>
        <w:t xml:space="preserve">All relevant employees and agents receive AML training on joining and at least every </w:t>
      </w:r>
      <w:r>
        <w:rPr>
          <w:color w:val="0A7A52"/>
        </w:rPr>
        <w:t xml:space="preserve">[12]</w:t>
      </w:r>
      <w:r>
        <w:t xml:space="preserve"> months, covering the law, this policy, red flags, how to report suspicions and data protection (regulation 24). We keep a training log with the date, topic, trainer and attendees.</w:t>
      </w:r>
    </w:p>
    <w:p>
      <w:pPr>
        <w:pStyle w:val="Heading1"/>
      </w:pPr>
      <w:r>
        <w:t xml:space="preserve">10. Employee screening</w:t>
      </w:r>
    </w:p>
    <w:p>
      <w:pPr>
        <w:spacing w:after="120"/>
      </w:pPr>
      <w:r>
        <w:t xml:space="preserve">Before appointing anyone whose work is relevant to AML compliance, and during their employment, we assess their skills, knowledge, conduct and integrity (regulation 21(1)(b)), for example through references, </w:t>
      </w:r>
      <w:r>
        <w:rPr>
          <w:color w:val="0A7A52"/>
        </w:rPr>
        <w:t xml:space="preserve">[basic DBS checks]</w:t>
      </w:r>
      <w:r>
        <w:t xml:space="preserve"> and annual reviews.</w:t>
      </w:r>
    </w:p>
    <w:p>
      <w:pPr>
        <w:pStyle w:val="Heading1"/>
      </w:pPr>
      <w:r>
        <w:t xml:space="preserve">11. Record keeping</w:t>
      </w:r>
    </w:p>
    <w:p>
      <w:pPr>
        <w:spacing w:after="120"/>
      </w:pPr>
      <w:r>
        <w:t xml:space="preserve">We keep CDD records and enough supporting records to reconstruct each transaction for </w:t>
      </w:r>
      <w:r>
        <w:rPr>
          <w:b/>
          <w:bCs/>
        </w:rPr>
        <w:t xml:space="preserve">five years</w:t>
      </w:r>
      <w:r>
        <w:t xml:space="preserve"> after the business relationship ends (completion, withdrawal of the accepted offer or cancellation of the marketing contract) (regulation 40). We then delete personal data unless we must keep it by law, for legal proceedings or with the person’s consent. We can respond quickly and fully to enquiries from law enforcement about whether we have had a relationship with a person in the last five years (regulation 21(8)).</w:t>
      </w:r>
    </w:p>
    <w:p>
      <w:pPr>
        <w:spacing w:after="120"/>
      </w:pPr>
      <w:r>
        <w:t xml:space="preserve">Records are stored </w:t>
      </w:r>
      <w:r>
        <w:rPr>
          <w:color w:val="0A7A52"/>
        </w:rPr>
        <w:t xml:space="preserve">[location / system]</w:t>
      </w:r>
      <w:r>
        <w:t xml:space="preserve">, with access limited to </w:t>
      </w:r>
      <w:r>
        <w:rPr>
          <w:color w:val="0A7A52"/>
        </w:rPr>
        <w:t xml:space="preserve">[roles]</w:t>
      </w:r>
      <w:r>
        <w:t xml:space="preserve">.</w:t>
      </w:r>
    </w:p>
    <w:p>
      <w:pPr>
        <w:pStyle w:val="Heading1"/>
      </w:pPr>
      <w:r>
        <w:t xml:space="preserve">12. New services and technology</w:t>
      </w:r>
    </w:p>
    <w:p>
      <w:pPr>
        <w:spacing w:after="120"/>
      </w:pPr>
      <w:r>
        <w:t xml:space="preserve">Before we launch a new service, delivery channel or technology, such as remote onboarding or a new ID verification provider, we assess the money laundering risk and update our risk assessment and this policy (regulation 19(4)(c)).</w:t>
      </w:r>
    </w:p>
    <w:p>
      <w:pPr>
        <w:pStyle w:val="Heading1"/>
      </w:pPr>
      <w:r>
        <w:t xml:space="preserve">13. Monitoring compliance and review</w:t>
      </w:r>
    </w:p>
    <w:p>
      <w:pPr>
        <w:spacing w:after="120"/>
      </w:pPr>
      <w:r>
        <w:t xml:space="preserve">The </w:t>
      </w:r>
      <w:r>
        <w:rPr>
          <w:color w:val="0A7A52"/>
        </w:rPr>
        <w:t xml:space="preserve">[senior manager / nominated officer]</w:t>
      </w:r>
      <w:r>
        <w:t xml:space="preserve"> checks a sample of </w:t>
      </w:r>
      <w:r>
        <w:rPr>
          <w:color w:val="0A7A52"/>
        </w:rPr>
        <w:t xml:space="preserve">[number]</w:t>
      </w:r>
      <w:r>
        <w:t xml:space="preserve"> files every </w:t>
      </w:r>
      <w:r>
        <w:rPr>
          <w:color w:val="0A7A52"/>
        </w:rPr>
        <w:t xml:space="preserve">[quarter]</w:t>
      </w:r>
      <w:r>
        <w:t xml:space="preserve"> and reports findings to </w:t>
      </w:r>
      <w:r>
        <w:rPr>
          <w:color w:val="0A7A52"/>
        </w:rPr>
        <w:t xml:space="preserve">[management]</w:t>
      </w:r>
      <w:r>
        <w:t xml:space="preserve">. </w:t>
      </w:r>
      <w:r>
        <w:rPr>
          <w:color w:val="0A7A52"/>
        </w:rPr>
        <w:t xml:space="preserve">[An independent review of our AML controls is carried out every [period]</w:t>
      </w:r>
      <w:r>
        <w:t xml:space="preserve"> by </w:t>
      </w:r>
      <w:r>
        <w:rPr>
          <w:color w:val="0A7A52"/>
        </w:rPr>
        <w:t xml:space="preserve">[name]</w:t>
      </w:r>
      <w:r>
        <w:t xml:space="preserve">.] We review this policy at least once a year, when our risk assessment changes, and when the law or HMRC guidance changes, and we communicate each update to all staff.</w:t>
      </w:r>
    </w:p>
    <w:tbl>
      <w:tblPr>
        <w:tblW w:type="dxa" w:w="9638"/>
        <w:tblBorders>
          <w:top w:val="single" w:color="C9D1CD" w:sz="4"/>
          <w:left w:val="single" w:color="C9D1CD" w:sz="4"/>
          <w:bottom w:val="single" w:color="C9D1CD" w:sz="4"/>
          <w:right w:val="single" w:color="C9D1CD" w:sz="4"/>
          <w:insideH w:val="single" w:color="C9D1CD" w:sz="4"/>
          <w:insideV w:val="single" w:color="C9D1CD" w:sz="4"/>
        </w:tblBorders>
      </w:tblPr>
      <w:tblGrid>
        <w:gridCol w:w="1004"/>
        <w:gridCol w:w="1406"/>
        <w:gridCol w:w="1606"/>
        <w:gridCol w:w="4016"/>
        <w:gridCol w:w="1606"/>
      </w:tblGrid>
      <w:tr>
        <w:trPr>
          <w:cantSplit/>
          <w:tblHeader/>
        </w:trPr>
        <w:tc>
          <w:tcPr>
            <w:tcW w:type="dxa" w:w="1004"/>
            <w:shd w:fill="0E3B2C" w:color="auto" w:val="clear"/>
            <w:tcMar>
              <w:top w:type="dxa" w:w="70"/>
              <w:left w:type="dxa" w:w="100"/>
              <w:bottom w:type="dxa" w:w="70"/>
              <w:right w:type="dxa" w:w="100"/>
            </w:tcMar>
          </w:tcPr>
          <w:p>
            <w:pPr>
              <w:spacing w:before="0" w:after="0"/>
            </w:pPr>
            <w:r>
              <w:rPr>
                <w:b/>
                <w:bCs/>
                <w:color w:val="FFFFFF"/>
                <w:sz w:val="19"/>
                <w:szCs w:val="19"/>
              </w:rPr>
              <w:t xml:space="preserve">Version</w:t>
            </w:r>
          </w:p>
        </w:tc>
        <w:tc>
          <w:tcPr>
            <w:tcW w:type="dxa" w:w="1406"/>
            <w:shd w:fill="0E3B2C" w:color="auto" w:val="clear"/>
            <w:tcMar>
              <w:top w:type="dxa" w:w="70"/>
              <w:left w:type="dxa" w:w="100"/>
              <w:bottom w:type="dxa" w:w="70"/>
              <w:right w:type="dxa" w:w="100"/>
            </w:tcMar>
          </w:tcPr>
          <w:p>
            <w:pPr>
              <w:spacing w:before="0" w:after="0"/>
            </w:pPr>
            <w:r>
              <w:rPr>
                <w:b/>
                <w:bCs/>
                <w:color w:val="FFFFFF"/>
                <w:sz w:val="19"/>
                <w:szCs w:val="19"/>
              </w:rPr>
              <w:t xml:space="preserve">Date</w:t>
            </w:r>
          </w:p>
        </w:tc>
        <w:tc>
          <w:tcPr>
            <w:tcW w:type="dxa" w:w="1606"/>
            <w:shd w:fill="0E3B2C" w:color="auto" w:val="clear"/>
            <w:tcMar>
              <w:top w:type="dxa" w:w="70"/>
              <w:left w:type="dxa" w:w="100"/>
              <w:bottom w:type="dxa" w:w="70"/>
              <w:right w:type="dxa" w:w="100"/>
            </w:tcMar>
          </w:tcPr>
          <w:p>
            <w:pPr>
              <w:spacing w:before="0" w:after="0"/>
            </w:pPr>
            <w:r>
              <w:rPr>
                <w:b/>
                <w:bCs/>
                <w:color w:val="FFFFFF"/>
                <w:sz w:val="19"/>
                <w:szCs w:val="19"/>
              </w:rPr>
              <w:t xml:space="preserve">Reviewed by</w:t>
            </w:r>
          </w:p>
        </w:tc>
        <w:tc>
          <w:tcPr>
            <w:tcW w:type="dxa" w:w="4016"/>
            <w:shd w:fill="0E3B2C" w:color="auto" w:val="clear"/>
            <w:tcMar>
              <w:top w:type="dxa" w:w="70"/>
              <w:left w:type="dxa" w:w="100"/>
              <w:bottom w:type="dxa" w:w="70"/>
              <w:right w:type="dxa" w:w="100"/>
            </w:tcMar>
          </w:tcPr>
          <w:p>
            <w:pPr>
              <w:spacing w:before="0" w:after="0"/>
            </w:pPr>
            <w:r>
              <w:rPr>
                <w:b/>
                <w:bCs/>
                <w:color w:val="FFFFFF"/>
                <w:sz w:val="19"/>
                <w:szCs w:val="19"/>
              </w:rPr>
              <w:t xml:space="preserve">Summary of changes (or “no changes, still valid because…”)</w:t>
            </w:r>
          </w:p>
        </w:tc>
        <w:tc>
          <w:tcPr>
            <w:tcW w:type="dxa" w:w="1606"/>
            <w:shd w:fill="0E3B2C" w:color="auto" w:val="clear"/>
            <w:tcMar>
              <w:top w:type="dxa" w:w="70"/>
              <w:left w:type="dxa" w:w="100"/>
              <w:bottom w:type="dxa" w:w="70"/>
              <w:right w:type="dxa" w:w="100"/>
            </w:tcMar>
          </w:tcPr>
          <w:p>
            <w:pPr>
              <w:spacing w:before="0" w:after="0"/>
            </w:pPr>
            <w:r>
              <w:rPr>
                <w:b/>
                <w:bCs/>
                <w:color w:val="FFFFFF"/>
                <w:sz w:val="19"/>
                <w:szCs w:val="19"/>
              </w:rPr>
              <w:t xml:space="preserve">Approved by</w:t>
            </w:r>
          </w:p>
        </w:tc>
      </w:tr>
      <w:tr>
        <w:trPr>
          <w:cantSplit/>
        </w:trPr>
        <w:tc>
          <w:tcPr>
            <w:tcW w:type="dxa" w:w="1004"/>
            <w:tcMar>
              <w:top w:type="dxa" w:w="70"/>
              <w:left w:type="dxa" w:w="100"/>
              <w:bottom w:type="dxa" w:w="70"/>
              <w:right w:type="dxa" w:w="100"/>
            </w:tcMar>
          </w:tcPr>
          <w:p>
            <w:pPr>
              <w:spacing w:before="0" w:after="0"/>
            </w:pPr>
            <w:r>
              <w:rPr>
                <w:b w:val="false"/>
                <w:bCs w:val="false"/>
                <w:color w:val="0A7A52"/>
                <w:sz w:val="19"/>
                <w:szCs w:val="19"/>
              </w:rPr>
              <w:t xml:space="preserve">[1.0]</w:t>
            </w:r>
          </w:p>
        </w:tc>
        <w:tc>
          <w:tcPr>
            <w:tcW w:type="dxa" w:w="1406"/>
            <w:tcMar>
              <w:top w:type="dxa" w:w="70"/>
              <w:left w:type="dxa" w:w="100"/>
              <w:bottom w:type="dxa" w:w="70"/>
              <w:right w:type="dxa" w:w="100"/>
            </w:tcMar>
          </w:tcPr>
          <w:p>
            <w:pPr>
              <w:spacing w:before="0" w:after="0"/>
            </w:pPr>
            <w:r>
              <w:rPr>
                <w:b w:val="false"/>
                <w:bCs w:val="false"/>
                <w:color w:val="0A7A52"/>
                <w:sz w:val="19"/>
                <w:szCs w:val="19"/>
              </w:rPr>
              <w:t xml:space="preserve">[Date]</w:t>
            </w:r>
          </w:p>
        </w:tc>
        <w:tc>
          <w:tcPr>
            <w:tcW w:type="dxa" w:w="1606"/>
            <w:tcMar>
              <w:top w:type="dxa" w:w="70"/>
              <w:left w:type="dxa" w:w="100"/>
              <w:bottom w:type="dxa" w:w="70"/>
              <w:right w:type="dxa" w:w="100"/>
            </w:tcMar>
          </w:tcPr>
          <w:p>
            <w:pPr>
              <w:spacing w:before="0" w:after="0"/>
            </w:pPr>
            <w:r>
              <w:rPr>
                <w:b w:val="false"/>
                <w:bCs w:val="false"/>
                <w:color w:val="0A7A52"/>
                <w:sz w:val="19"/>
                <w:szCs w:val="19"/>
              </w:rPr>
              <w:t xml:space="preserve">[Name]</w:t>
            </w:r>
          </w:p>
        </w:tc>
        <w:tc>
          <w:tcPr>
            <w:tcW w:type="dxa" w:w="4016"/>
            <w:tcMar>
              <w:top w:type="dxa" w:w="70"/>
              <w:left w:type="dxa" w:w="100"/>
              <w:bottom w:type="dxa" w:w="70"/>
              <w:right w:type="dxa" w:w="100"/>
            </w:tcMar>
          </w:tcPr>
          <w:p>
            <w:pPr>
              <w:spacing w:before="0" w:after="0"/>
            </w:pPr>
            <w:r>
              <w:rPr>
                <w:b w:val="false"/>
                <w:bCs w:val="false"/>
                <w:color w:val="0A7A52"/>
                <w:sz w:val="19"/>
                <w:szCs w:val="19"/>
              </w:rPr>
              <w:t xml:space="preserve">[First version]</w:t>
            </w:r>
          </w:p>
        </w:tc>
        <w:tc>
          <w:tcPr>
            <w:tcW w:type="dxa" w:w="1606"/>
            <w:tcMar>
              <w:top w:type="dxa" w:w="70"/>
              <w:left w:type="dxa" w:w="100"/>
              <w:bottom w:type="dxa" w:w="70"/>
              <w:right w:type="dxa" w:w="100"/>
            </w:tcMar>
          </w:tcPr>
          <w:p>
            <w:pPr>
              <w:spacing w:before="0" w:after="0"/>
            </w:pPr>
            <w:r>
              <w:rPr>
                <w:b w:val="false"/>
                <w:bCs w:val="false"/>
                <w:color w:val="0A7A52"/>
                <w:sz w:val="19"/>
                <w:szCs w:val="19"/>
              </w:rPr>
              <w:t xml:space="preserve">[Name]</w:t>
            </w:r>
          </w:p>
        </w:tc>
      </w:tr>
      <w:tr>
        <w:trPr>
          <w:cantSplit/>
        </w:trPr>
        <w:tc>
          <w:tcPr>
            <w:tcW w:type="dxa" w:w="1004"/>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1406"/>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1606"/>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4016"/>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1606"/>
            <w:tcMar>
              <w:top w:type="dxa" w:w="70"/>
              <w:left w:type="dxa" w:w="100"/>
              <w:bottom w:type="dxa" w:w="70"/>
              <w:right w:type="dxa" w:w="100"/>
            </w:tcMar>
          </w:tcPr>
          <w:p>
            <w:pPr>
              <w:spacing w:before="0" w:after="0"/>
            </w:pPr>
            <w:r>
              <w:rPr>
                <w:b w:val="false"/>
                <w:bCs w:val="false"/>
                <w:color w:val="0A7A52"/>
                <w:sz w:val="19"/>
                <w:szCs w:val="19"/>
              </w:rPr>
              <w:t xml:space="preserve">[ ]</w:t>
            </w:r>
          </w:p>
        </w:tc>
      </w:tr>
      <w:tr>
        <w:trPr>
          <w:cantSplit/>
        </w:trPr>
        <w:tc>
          <w:tcPr>
            <w:tcW w:type="dxa" w:w="1004"/>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1406"/>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1606"/>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4016"/>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1606"/>
            <w:tcMar>
              <w:top w:type="dxa" w:w="70"/>
              <w:left w:type="dxa" w:w="100"/>
              <w:bottom w:type="dxa" w:w="70"/>
              <w:right w:type="dxa" w:w="100"/>
            </w:tcMar>
          </w:tcPr>
          <w:p>
            <w:pPr>
              <w:spacing w:before="0" w:after="0"/>
            </w:pPr>
            <w:r>
              <w:rPr>
                <w:b w:val="false"/>
                <w:bCs w:val="false"/>
                <w:color w:val="0A7A52"/>
                <w:sz w:val="19"/>
                <w:szCs w:val="19"/>
              </w:rPr>
              <w:t xml:space="preserve">[ ]</w:t>
            </w:r>
          </w:p>
        </w:tc>
      </w:tr>
    </w:tbl>
    <w:p>
      <w:pPr>
        <w:spacing w:before="0" w:after="0"/>
      </w:pPr>
    </w:p>
    <w:p>
      <w:pPr>
        <w:pStyle w:val="Heading2"/>
      </w:pPr>
      <w:r>
        <w:t xml:space="preserve">Staff acknowledgement</w:t>
      </w:r>
    </w:p>
    <w:tbl>
      <w:tblPr>
        <w:tblW w:type="dxa" w:w="9638"/>
        <w:tblBorders>
          <w:top w:val="single" w:color="C9D1CD" w:sz="4"/>
          <w:left w:val="single" w:color="C9D1CD" w:sz="4"/>
          <w:bottom w:val="single" w:color="C9D1CD" w:sz="4"/>
          <w:right w:val="single" w:color="C9D1CD" w:sz="4"/>
          <w:insideH w:val="single" w:color="C9D1CD" w:sz="4"/>
          <w:insideV w:val="single" w:color="C9D1CD" w:sz="4"/>
        </w:tblBorders>
      </w:tblPr>
      <w:tblGrid>
        <w:gridCol w:w="2410"/>
        <w:gridCol w:w="2410"/>
        <w:gridCol w:w="2410"/>
        <w:gridCol w:w="2410"/>
      </w:tblGrid>
      <w:tr>
        <w:trPr>
          <w:cantSplit/>
          <w:tblHeader/>
        </w:trPr>
        <w:tc>
          <w:tcPr>
            <w:tcW w:type="dxa" w:w="2410"/>
            <w:shd w:fill="0E3B2C" w:color="auto" w:val="clear"/>
            <w:tcMar>
              <w:top w:type="dxa" w:w="70"/>
              <w:left w:type="dxa" w:w="100"/>
              <w:bottom w:type="dxa" w:w="70"/>
              <w:right w:type="dxa" w:w="100"/>
            </w:tcMar>
          </w:tcPr>
          <w:p>
            <w:pPr>
              <w:spacing w:before="0" w:after="0"/>
            </w:pPr>
            <w:r>
              <w:rPr>
                <w:b/>
                <w:bCs/>
                <w:color w:val="FFFFFF"/>
                <w:sz w:val="19"/>
                <w:szCs w:val="19"/>
              </w:rPr>
              <w:t xml:space="preserve">Name</w:t>
            </w:r>
          </w:p>
        </w:tc>
        <w:tc>
          <w:tcPr>
            <w:tcW w:type="dxa" w:w="2410"/>
            <w:shd w:fill="0E3B2C" w:color="auto" w:val="clear"/>
            <w:tcMar>
              <w:top w:type="dxa" w:w="70"/>
              <w:left w:type="dxa" w:w="100"/>
              <w:bottom w:type="dxa" w:w="70"/>
              <w:right w:type="dxa" w:w="100"/>
            </w:tcMar>
          </w:tcPr>
          <w:p>
            <w:pPr>
              <w:spacing w:before="0" w:after="0"/>
            </w:pPr>
            <w:r>
              <w:rPr>
                <w:b/>
                <w:bCs/>
                <w:color w:val="FFFFFF"/>
                <w:sz w:val="19"/>
                <w:szCs w:val="19"/>
              </w:rPr>
              <w:t xml:space="preserve">Role</w:t>
            </w:r>
          </w:p>
        </w:tc>
        <w:tc>
          <w:tcPr>
            <w:tcW w:type="dxa" w:w="2410"/>
            <w:shd w:fill="0E3B2C" w:color="auto" w:val="clear"/>
            <w:tcMar>
              <w:top w:type="dxa" w:w="70"/>
              <w:left w:type="dxa" w:w="100"/>
              <w:bottom w:type="dxa" w:w="70"/>
              <w:right w:type="dxa" w:w="100"/>
            </w:tcMar>
          </w:tcPr>
          <w:p>
            <w:pPr>
              <w:spacing w:before="0" w:after="0"/>
            </w:pPr>
            <w:r>
              <w:rPr>
                <w:b/>
                <w:bCs/>
                <w:color w:val="FFFFFF"/>
                <w:sz w:val="19"/>
                <w:szCs w:val="19"/>
              </w:rPr>
              <w:t xml:space="preserve">Date read</w:t>
            </w:r>
          </w:p>
        </w:tc>
        <w:tc>
          <w:tcPr>
            <w:tcW w:type="dxa" w:w="2410"/>
            <w:shd w:fill="0E3B2C" w:color="auto" w:val="clear"/>
            <w:tcMar>
              <w:top w:type="dxa" w:w="70"/>
              <w:left w:type="dxa" w:w="100"/>
              <w:bottom w:type="dxa" w:w="70"/>
              <w:right w:type="dxa" w:w="100"/>
            </w:tcMar>
          </w:tcPr>
          <w:p>
            <w:pPr>
              <w:spacing w:before="0" w:after="0"/>
            </w:pPr>
            <w:r>
              <w:rPr>
                <w:b/>
                <w:bCs/>
                <w:color w:val="FFFFFF"/>
                <w:sz w:val="19"/>
                <w:szCs w:val="19"/>
              </w:rPr>
              <w:t xml:space="preserve">Signature</w:t>
            </w:r>
          </w:p>
        </w:tc>
      </w:tr>
      <w:tr>
        <w:trPr>
          <w:cantSplit/>
        </w:trPr>
        <w:tc>
          <w:tcPr>
            <w:tcW w:type="dxa" w:w="2410"/>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2410"/>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2410"/>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2410"/>
            <w:tcMar>
              <w:top w:type="dxa" w:w="70"/>
              <w:left w:type="dxa" w:w="100"/>
              <w:bottom w:type="dxa" w:w="70"/>
              <w:right w:type="dxa" w:w="100"/>
            </w:tcMar>
          </w:tcPr>
          <w:p>
            <w:pPr>
              <w:spacing w:before="0" w:after="0"/>
            </w:pPr>
            <w:r>
              <w:rPr>
                <w:b w:val="false"/>
                <w:bCs w:val="false"/>
                <w:color w:val="0A7A52"/>
                <w:sz w:val="19"/>
                <w:szCs w:val="19"/>
              </w:rPr>
              <w:t xml:space="preserve">[ ]</w:t>
            </w:r>
          </w:p>
        </w:tc>
      </w:tr>
      <w:tr>
        <w:trPr>
          <w:cantSplit/>
        </w:trPr>
        <w:tc>
          <w:tcPr>
            <w:tcW w:type="dxa" w:w="2410"/>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2410"/>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2410"/>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2410"/>
            <w:tcMar>
              <w:top w:type="dxa" w:w="70"/>
              <w:left w:type="dxa" w:w="100"/>
              <w:bottom w:type="dxa" w:w="70"/>
              <w:right w:type="dxa" w:w="100"/>
            </w:tcMar>
          </w:tcPr>
          <w:p>
            <w:pPr>
              <w:spacing w:before="0" w:after="0"/>
            </w:pPr>
            <w:r>
              <w:rPr>
                <w:b w:val="false"/>
                <w:bCs w:val="false"/>
                <w:color w:val="0A7A52"/>
                <w:sz w:val="19"/>
                <w:szCs w:val="19"/>
              </w:rPr>
              <w:t xml:space="preserve">[ ]</w:t>
            </w:r>
          </w:p>
        </w:tc>
      </w:tr>
      <w:tr>
        <w:trPr>
          <w:cantSplit/>
        </w:trPr>
        <w:tc>
          <w:tcPr>
            <w:tcW w:type="dxa" w:w="2410"/>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2410"/>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2410"/>
            <w:tcMar>
              <w:top w:type="dxa" w:w="70"/>
              <w:left w:type="dxa" w:w="100"/>
              <w:bottom w:type="dxa" w:w="70"/>
              <w:right w:type="dxa" w:w="100"/>
            </w:tcMar>
          </w:tcPr>
          <w:p>
            <w:pPr>
              <w:spacing w:before="0" w:after="0"/>
            </w:pPr>
            <w:r>
              <w:rPr>
                <w:b w:val="false"/>
                <w:bCs w:val="false"/>
                <w:color w:val="0A7A52"/>
                <w:sz w:val="19"/>
                <w:szCs w:val="19"/>
              </w:rPr>
              <w:t xml:space="preserve">[ ]</w:t>
            </w:r>
          </w:p>
        </w:tc>
        <w:tc>
          <w:tcPr>
            <w:tcW w:type="dxa" w:w="2410"/>
            <w:tcMar>
              <w:top w:type="dxa" w:w="70"/>
              <w:left w:type="dxa" w:w="100"/>
              <w:bottom w:type="dxa" w:w="70"/>
              <w:right w:type="dxa" w:w="100"/>
            </w:tcMar>
          </w:tcPr>
          <w:p>
            <w:pPr>
              <w:spacing w:before="0" w:after="0"/>
            </w:pPr>
            <w:r>
              <w:rPr>
                <w:b w:val="false"/>
                <w:bCs w:val="false"/>
                <w:color w:val="0A7A52"/>
                <w:sz w:val="19"/>
                <w:szCs w:val="19"/>
              </w:rPr>
              <w:t xml:space="preserve">[ ]</w:t>
            </w:r>
          </w:p>
        </w:tc>
      </w:tr>
    </w:tbl>
    <w:p>
      <w:pPr>
        <w:spacing w:before="0" w:after="0"/>
      </w:pPr>
    </w:p>
    <w:p>
      <w:pPr>
        <w:pStyle w:val="Heading2"/>
      </w:pPr>
      <w:r>
        <w:t xml:space="preserve">Sources</w:t>
      </w:r>
    </w:p>
    <w:p>
      <w:r>
        <w:rPr>
          <w:color w:val="5F6663"/>
          <w:sz w:val="18"/>
          <w:szCs w:val="18"/>
        </w:rPr>
        <w:t xml:space="preserve">Checked on 23 October 2026. Laws and guidance change: check the current versions before relying on this template.</w:t>
      </w:r>
    </w:p>
    <w:p>
      <w:pPr>
        <w:pStyle w:val="ListParagraph"/>
        <w:numPr>
          <w:ilvl w:val="0"/>
          <w:numId w:val="2"/>
        </w:numPr>
        <w:spacing w:after="60"/>
      </w:pPr>
      <w:r>
        <w:t xml:space="preserve">The Money Laundering, Terrorist Financing and Transfer of Funds (Information on the Payer) Regulations 2017 (SI 2017/692), as amended: legislation.gov.uk/uksi/2017/692</w:t>
      </w:r>
    </w:p>
    <w:p>
      <w:pPr>
        <w:pStyle w:val="ListParagraph"/>
        <w:numPr>
          <w:ilvl w:val="0"/>
          <w:numId w:val="2"/>
        </w:numPr>
        <w:spacing w:after="60"/>
      </w:pPr>
      <w:r>
        <w:t xml:space="preserve">The Money Laundering and Terrorist Financing (Amendment) Regulations 2026 (SI 2026/621): legislation.gov.uk/uksi/2026/621/made</w:t>
      </w:r>
    </w:p>
    <w:p>
      <w:pPr>
        <w:pStyle w:val="ListParagraph"/>
        <w:numPr>
          <w:ilvl w:val="0"/>
          <w:numId w:val="2"/>
        </w:numPr>
        <w:spacing w:after="60"/>
      </w:pPr>
      <w:r>
        <w:t xml:space="preserve">HMRC, Anti-money laundering guidance for supervised businesses (updated 13 October 2026): gov.uk/hmrc-internal-manuals/anti-money-laundering-guidance-for-supervised-businesses</w:t>
      </w:r>
    </w:p>
    <w:p>
      <w:pPr>
        <w:pStyle w:val="ListParagraph"/>
        <w:numPr>
          <w:ilvl w:val="0"/>
          <w:numId w:val="2"/>
        </w:numPr>
        <w:spacing w:after="60"/>
      </w:pPr>
      <w:r>
        <w:t xml:space="preserve">HMRC AMLG1800 Risk assessment and AMLG1900 Policies, controls and procedures</w:t>
      </w:r>
    </w:p>
    <w:p>
      <w:pPr>
        <w:pStyle w:val="ListParagraph"/>
        <w:numPr>
          <w:ilvl w:val="0"/>
          <w:numId w:val="2"/>
        </w:numPr>
        <w:spacing w:after="60"/>
      </w:pPr>
      <w:r>
        <w:t xml:space="preserve">HMRC AMLG2200 Estate agent business guidance, AMLG2300 Letting agent business guidance and AMLG3200 Risk assessment of estate agency businesses</w:t>
      </w:r>
    </w:p>
    <w:p>
      <w:pPr>
        <w:pStyle w:val="ListParagraph"/>
        <w:numPr>
          <w:ilvl w:val="0"/>
          <w:numId w:val="2"/>
        </w:numPr>
        <w:spacing w:after="60"/>
      </w:pPr>
      <w:r>
        <w:t xml:space="preserve">HMRC AMLG11300 to AMLG11700 (customer due diligence, identifying and verifying customers, ongoing monitoring, enhanced due diligence, source of funds and wealth, FATF call for action countries, PEPs, record keeping)</w:t>
      </w:r>
    </w:p>
    <w:p>
      <w:pPr>
        <w:pStyle w:val="ListParagraph"/>
        <w:numPr>
          <w:ilvl w:val="0"/>
          <w:numId w:val="2"/>
        </w:numPr>
        <w:spacing w:after="60"/>
      </w:pPr>
      <w:r>
        <w:t xml:space="preserve">FATF, High-risk jurisdictions subject to a call for action (check the latest publication): fatf-gafi.org</w:t>
      </w:r>
    </w:p>
    <w:p>
      <w:pPr>
        <w:pStyle w:val="ListParagraph"/>
        <w:numPr>
          <w:ilvl w:val="0"/>
          <w:numId w:val="2"/>
        </w:numPr>
        <w:spacing w:after="60"/>
      </w:pPr>
      <w:r>
        <w:t xml:space="preserve">HM Treasury and Home Office, National risk assessment of money laundering and terrorist financing 2025: gov.uk</w:t>
      </w:r>
    </w:p>
    <w:p>
      <w:pPr>
        <w:pStyle w:val="ListParagraph"/>
        <w:numPr>
          <w:ilvl w:val="0"/>
          <w:numId w:val="2"/>
        </w:numPr>
        <w:spacing w:after="60"/>
      </w:pPr>
      <w:r>
        <w:t xml:space="preserve">Proceeds of Crime Act 2002, Part 7, and Terrorism Act 2000, Part 3</w:t>
      </w:r>
    </w:p>
    <w:p>
      <w:pPr>
        <w:pStyle w:val="ListParagraph"/>
        <w:numPr>
          <w:ilvl w:val="0"/>
          <w:numId w:val="2"/>
        </w:numPr>
        <w:spacing w:after="60"/>
      </w:pPr>
      <w:r>
        <w:t xml:space="preserve">DSIT, UK digital identity and attributes trust framework and the DVS register; HM Treasury and DSIT, Using digital identities with the Money Laundering Regulations (February 2026): gov.uk</w:t>
      </w:r>
    </w:p>
    <w:sectPr>
      <w:headerReference w:type="default" r:id="rId6"/>
      <w:footerReference w:type="default" r:id="rId7"/>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color w:val="5F6663"/>
        <w:sz w:val="16"/>
        <w:szCs w:val="16"/>
      </w:rPr>
      <w:t xml:space="preserve">AML policy and procedures   |   </w:t>
    </w:r>
    <w:r>
      <w:rPr>
        <w:color w:val="5F6663"/>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5F6663"/>
        <w:sz w:val="16"/>
        <w:szCs w:val="16"/>
      </w:rPr>
      <w:t xml:space="preserve">AML Buddy — free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C2320"/>
        <w:sz w:val="20"/>
        <w:szCs w:val="20"/>
      </w:rPr>
    </w:rPrDefault>
    <w:pPrDefault>
      <w:pPr>
        <w:spacing w:after="12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pPr>
      <w:spacing w:after="80"/>
    </w:pPr>
    <w:rPr>
      <w:rFonts w:ascii="Arial" w:cs="Arial" w:eastAsia="Arial" w:hAnsi="Arial"/>
      <w:b/>
      <w:bCs/>
      <w:color w:val="0E3B2C"/>
      <w:sz w:val="44"/>
      <w:szCs w:val="44"/>
    </w:rPr>
  </w:style>
  <w:style w:type="paragraph" w:styleId="Heading1">
    <w:name w:val="Heading 1"/>
    <w:basedOn w:val="Normal"/>
    <w:next w:val="Normal"/>
    <w:qFormat/>
    <w:pPr>
      <w:keepNext/>
      <w:spacing w:before="360" w:after="140"/>
    </w:pPr>
    <w:rPr>
      <w:rFonts w:ascii="Arial" w:cs="Arial" w:eastAsia="Arial" w:hAnsi="Arial"/>
      <w:b/>
      <w:bCs/>
      <w:color w:val="0E3B2C"/>
      <w:sz w:val="30"/>
      <w:szCs w:val="30"/>
    </w:rPr>
  </w:style>
  <w:style w:type="paragraph" w:styleId="Heading2">
    <w:name w:val="Heading 2"/>
    <w:basedOn w:val="Normal"/>
    <w:next w:val="Normal"/>
    <w:qFormat/>
    <w:pPr>
      <w:keepNext/>
      <w:spacing w:before="280" w:after="100"/>
    </w:pPr>
    <w:rPr>
      <w:rFonts w:ascii="Arial" w:cs="Arial" w:eastAsia="Arial" w:hAnsi="Arial"/>
      <w:b/>
      <w:bCs/>
      <w:color w:val="0E3B2C"/>
      <w:sz w:val="25"/>
      <w:szCs w:val="25"/>
    </w:rPr>
  </w:style>
  <w:style w:type="paragraph" w:styleId="Heading3">
    <w:name w:val="Heading 3"/>
    <w:basedOn w:val="Normal"/>
    <w:next w:val="Normal"/>
    <w:qFormat/>
    <w:pPr>
      <w:keepNext/>
      <w:spacing w:before="200" w:after="80"/>
    </w:pPr>
    <w:rPr>
      <w:rFonts w:ascii="Arial" w:cs="Arial" w:eastAsia="Arial" w:hAnsi="Arial"/>
      <w:b/>
      <w:bCs/>
      <w:color w:val="0A7A52"/>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AML policy and procedures</dc:title>
  <dc:creator>AML Buddy</dc:creator>
  <dc:description>Template for a small estate agency and letting agency business (MLR 2017, regulations 19 to 24)</dc:description>
  <cp:lastModifiedBy>Un-named</cp:lastModifiedBy>
  <cp:revision>1</cp:revision>
  <dcterms:created xsi:type="dcterms:W3CDTF">2026-10-23T18:27:28.311Z</dcterms:created>
  <dcterms:modified xsi:type="dcterms:W3CDTF">2026-10-23T18:27:28.311Z</dcterms:modified>
</cp:coreProperties>
</file>

<file path=docProps/custom.xml><?xml version="1.0" encoding="utf-8"?>
<Properties xmlns="http://schemas.openxmlformats.org/officeDocument/2006/custom-properties" xmlns:vt="http://schemas.openxmlformats.org/officeDocument/2006/docPropsVTypes"/>
</file>