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AML policy and procedures</w:t>
      </w:r>
    </w:p>
    <w:p>
      <w:pPr>
        <w:spacing w:after="240"/>
      </w:pPr>
      <w:r>
        <w:rPr>
          <w:color w:val="5F6663"/>
          <w:sz w:val="24"/>
          <w:szCs w:val="24"/>
        </w:rPr>
        <w:t xml:space="preserve">Template for a small accountancy, bookkeeping or tax practice (MLR 2017, regulations 19 to 24)</w:t>
      </w:r>
    </w:p>
    <w:tbl>
      <w:tblPr>
        <w:tblW w:type="dxa" w:w="9638"/>
        <w:tblBorders>
          <w:top w:val="none" w:color="FFFFFF" w:sz="0"/>
          <w:left w:val="single" w:color="0E3B2C" w:sz="24"/>
          <w:bottom w:val="none" w:color="FFFFFF" w:sz="0"/>
          <w:right w:val="none" w:color="FFFFFF" w:sz="0"/>
          <w:insideH w:val="none" w:color="FFFFFF" w:sz="0"/>
          <w:insideV w:val="none" w:color="FFFFFF" w:sz="0"/>
        </w:tblBorders>
      </w:tblPr>
      <w:tblGrid>
        <w:gridCol w:w="9638"/>
      </w:tblGrid>
      <w:tr>
        <w:tc>
          <w:tcPr>
            <w:tcW w:type="dxa" w:w="9638"/>
            <w:shd w:fill="F4F5F4" w:color="auto" w:val="clear"/>
            <w:tcMar>
              <w:top w:type="dxa" w:w="110"/>
              <w:left w:type="dxa" w:w="180"/>
              <w:bottom w:type="dxa" w:w="110"/>
              <w:right w:type="dxa" w:w="160"/>
            </w:tcMar>
          </w:tcPr>
          <w:p>
            <w:pPr>
              <w:spacing w:before="0" w:after="0"/>
            </w:pPr>
            <w:r>
              <w:rPr>
                <w:b/>
                <w:bCs/>
                <w:color w:val="0E3B2C"/>
                <w:sz w:val="19"/>
                <w:szCs w:val="19"/>
              </w:rPr>
              <w:t xml:space="preserve">Important: </w:t>
            </w:r>
            <w:r>
              <w:rPr>
                <w:sz w:val="19"/>
                <w:szCs w:val="19"/>
              </w:rPr>
              <w:t xml:space="preserve">This is a template to adapt, not legal advice. It reflects the Money Laundering Regulations 2017 as amended (including SI 2026/621, in force from 30 June 2026) and supervisor guidance published by 23 October 2026. Before you use it, check it against your AML supervisor’s current guidance (for example HMRC’s anti-money laundering guidance for supervised businesses, the CCAB guidance for the accountancy sector 2026 or the LSAG guidance 2025), adapt it to your own business and delete the guidance notes. Your firm remains responsible for its own compliance. Provided free, as is, without warranty.</w:t>
            </w:r>
          </w:p>
        </w:tc>
      </w:tr>
    </w:tbl>
    <w:p>
      <w:pPr>
        <w:spacing w:before="0" w:after="0"/>
      </w:pP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662"/>
        <w:gridCol w:w="5976"/>
      </w:tblGrid>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Firm name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[Firm name]</w:t>
            </w:r>
            <w:r>
              <w:rPr>
                <w:b w:val="false"/>
                <w:bCs w:val="false"/>
                <w:sz w:val="19"/>
                <w:szCs w:val="19"/>
              </w:rPr>
              <w:t xml:space="preserve"> (trading as </w:t>
            </w:r>
            <w:r>
              <w:rPr>
                <w:b w:val="false"/>
                <w:bCs w:val="false"/>
                <w:color w:val="0A7A52"/>
                <w:sz w:val="19"/>
                <w:szCs w:val="19"/>
              </w:rPr>
              <w:t xml:space="preserve">[trading name]</w:t>
            </w:r>
            <w:r>
              <w:rPr>
                <w:b w:val="false"/>
                <w:bCs w:val="false"/>
                <w:sz w:val="19"/>
                <w:szCs w:val="19"/>
              </w:rPr>
              <w:t xml:space="preserv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AML supervisor</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[HMRC / ICAEW / ACCA / AAT / ICB / CIOT / ATT / other professional body]</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Supervisor registration or membership number</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[Number]</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Version</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[1.0]</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Prepared by</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[Name, role]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Approved by (senior management)</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[Name, role]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Date approved</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[DD Month YYYY]</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Next review due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[DD Month YYYY, no later than 12 months after approval]</w:t>
            </w:r>
          </w:p>
        </w:tc>
      </w:tr>
    </w:tbl>
    <w:p>
      <w:pPr>
        <w:spacing w:before="0" w:after="0"/>
      </w:pPr>
    </w:p>
    <w:p>
      <w:pPr>
        <w:pStyle w:val="Heading2"/>
      </w:pPr>
      <w:r>
        <w:t xml:space="preserve">How to use this template</w:t>
      </w:r>
    </w:p>
    <w:p>
      <w:pPr>
        <w:pStyle w:val="ListParagraph"/>
        <w:numPr>
          <w:ilvl w:val="0"/>
          <w:numId w:val="2"/>
        </w:numPr>
        <w:spacing w:after="60"/>
      </w:pPr>
      <w:r>
        <w:t xml:space="preserve">Replace every </w:t>
      </w:r>
      <w:r>
        <w:rPr>
          <w:color w:val="0A7A52"/>
        </w:rPr>
        <w:t xml:space="preserve">[square-bracket placeholder]</w:t>
      </w:r>
      <w:r>
        <w:t xml:space="preserve"> with your firm’s details. Delete options that do not apply.</w:t>
      </w:r>
    </w:p>
    <w:p>
      <w:pPr>
        <w:pStyle w:val="ListParagraph"/>
        <w:numPr>
          <w:ilvl w:val="0"/>
          <w:numId w:val="2"/>
        </w:numPr>
        <w:spacing w:after="60"/>
      </w:pPr>
      <w:r>
        <w:t xml:space="preserve">Read and then delete the shaded guidance notes before you finalise the document.</w:t>
      </w:r>
    </w:p>
    <w:p>
      <w:pPr>
        <w:pStyle w:val="ListParagraph"/>
        <w:numPr>
          <w:ilvl w:val="0"/>
          <w:numId w:val="2"/>
        </w:numPr>
        <w:spacing w:after="60"/>
      </w:pPr>
      <w:r>
        <w:t xml:space="preserve">Make it describe what your firm actually does. A supervisor will test your day-to-day practice against it, and a generic copy-and-paste document is a common inspection finding.</w:t>
      </w:r>
    </w:p>
    <w:p>
      <w:pPr>
        <w:pStyle w:val="ListParagraph"/>
        <w:numPr>
          <w:ilvl w:val="0"/>
          <w:numId w:val="2"/>
        </w:numPr>
        <w:spacing w:after="60"/>
      </w:pPr>
      <w:r>
        <w:t xml:space="preserve">Use it together with your practice-wide risk assessment (regulation 18). Your policy must be based on the risks that assessment identifies.</w:t>
      </w:r>
    </w:p>
    <w:p>
      <w:pPr>
        <w:pStyle w:val="ListParagraph"/>
        <w:numPr>
          <w:ilvl w:val="0"/>
          <w:numId w:val="2"/>
        </w:numPr>
        <w:spacing w:after="60"/>
      </w:pPr>
      <w:r>
        <w:t xml:space="preserve">If you are supervised by a professional body, check whether it publishes its own pro forma policy, and follow its requirements where they differ.</w:t>
      </w: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The CCAB guidance for the accountancy sector 2026 (AMLGAS) is approved and adopted by the UK accountancy AML supervisory bodies and reflects the law as at 1 July 2026. HMRC’s own manual points accountancy service providers to it (AMLG2000). Regulation 19 requires written policies, controls and procedures that are proportionate, approved by senior management, regularly reviewed and communicated to staff.</w:t>
            </w:r>
          </w:p>
        </w:tc>
      </w:tr>
    </w:tbl>
    <w:p>
      <w:pPr>
        <w:spacing w:before="0" w:after="0"/>
      </w:pPr>
    </w:p>
    <w:p>
      <w:pPr>
        <w:pStyle w:val="Heading1"/>
      </w:pPr>
      <w:r>
        <w:t xml:space="preserve">1. Purpose and scope</w:t>
      </w:r>
    </w:p>
    <w:p>
      <w:pPr>
        <w:spacing w:after="120"/>
      </w:pPr>
      <w:r>
        <w:t xml:space="preserve">This document sets out how </w:t>
      </w:r>
      <w:r>
        <w:rPr>
          <w:color w:val="0A7A52"/>
        </w:rPr>
        <w:t xml:space="preserve">[Practice name]</w:t>
      </w:r>
      <w:r>
        <w:t xml:space="preserve"> (“the practice”, “we”) prevents its services from being used for money laundering, terrorist financing and proliferation financing, and how we comply with the Money Laundering Regulations 2017 as amended (“the MLRs”), Part 7 of the Proceeds of Crime Act 2002 (POCA) and Part 3 of the Terrorism Act 2000.</w:t>
      </w:r>
    </w:p>
    <w:p>
      <w:pPr>
        <w:spacing w:after="120"/>
      </w:pPr>
      <w:r>
        <w:t xml:space="preserve">It applies to all principals, employees, subcontractors and </w:t>
      </w:r>
      <w:r>
        <w:rPr>
          <w:color w:val="0A7A52"/>
        </w:rPr>
        <w:t xml:space="preserve">[agents]</w:t>
      </w:r>
      <w:r>
        <w:t xml:space="preserve"> at </w:t>
      </w:r>
      <w:r>
        <w:rPr>
          <w:color w:val="0A7A52"/>
        </w:rPr>
        <w:t xml:space="preserve">[office addresses]</w:t>
      </w:r>
      <w:r>
        <w:t xml:space="preserve">. The services we provide that are within the MLRs are:</w:t>
      </w:r>
    </w:p>
    <w:p>
      <w:pPr>
        <w:tabs>
          <w:tab w:val="left" w:pos="400"/>
        </w:tabs>
        <w:spacing w:after="70"/>
        <w:ind w:left="400" w:hanging="400"/>
      </w:pPr>
      <w:r>
        <w:t xml:space="preserve">☐</w:t>
      </w:r>
      <w:r>
        <w:t xml:space="preserve">	</w:t>
      </w:r>
      <w:r>
        <w:t xml:space="preserve">Accountancy services: preparing accounts, bookkeeping, management accounts (regulation 11)</w:t>
      </w:r>
    </w:p>
    <w:p>
      <w:pPr>
        <w:tabs>
          <w:tab w:val="left" w:pos="400"/>
        </w:tabs>
        <w:spacing w:after="70"/>
        <w:ind w:left="400" w:hanging="400"/>
      </w:pPr>
      <w:r>
        <w:t xml:space="preserve">☐</w:t>
      </w:r>
      <w:r>
        <w:t xml:space="preserve">	</w:t>
      </w:r>
      <w:r>
        <w:t xml:space="preserve">Tax advice and tax return preparation (regulation 11(d))</w:t>
      </w:r>
    </w:p>
    <w:p>
      <w:pPr>
        <w:tabs>
          <w:tab w:val="left" w:pos="400"/>
        </w:tabs>
        <w:spacing w:after="70"/>
        <w:ind w:left="400" w:hanging="400"/>
      </w:pPr>
      <w:r>
        <w:t xml:space="preserve">☐</w:t>
      </w:r>
      <w:r>
        <w:t xml:space="preserve">	</w:t>
      </w:r>
      <w:r>
        <w:t xml:space="preserve">Payroll services</w:t>
      </w:r>
    </w:p>
    <w:p>
      <w:pPr>
        <w:tabs>
          <w:tab w:val="left" w:pos="400"/>
        </w:tabs>
        <w:spacing w:after="70"/>
        <w:ind w:left="400" w:hanging="400"/>
      </w:pPr>
      <w:r>
        <w:t xml:space="preserve">☐</w:t>
      </w:r>
      <w:r>
        <w:t xml:space="preserve">	</w:t>
      </w:r>
      <w:r>
        <w:t xml:space="preserve">Trust or company services: company formation, registered office or service address, acting as or arranging for someone to act as a director or nominee, selling off-the-shelf companies (regulation 12; selling ready-made companies is in scope from 30 June 2026 under SI 2026/621)</w:t>
      </w:r>
    </w:p>
    <w:p>
      <w:pPr>
        <w:tabs>
          <w:tab w:val="left" w:pos="400"/>
        </w:tabs>
        <w:spacing w:after="70"/>
        <w:ind w:left="400" w:hanging="400"/>
      </w:pPr>
      <w:r>
        <w:t xml:space="preserve">☐</w:t>
      </w:r>
      <w:r>
        <w:t xml:space="preserve">	</w:t>
      </w:r>
      <w:r>
        <w:rPr>
          <w:color w:val="0A7A52"/>
        </w:rPr>
        <w:t xml:space="preserve">[Insolvency / audit: these are regulated separately; add your own procedures]</w:t>
      </w:r>
    </w:p>
    <w:p>
      <w:pPr>
        <w:tabs>
          <w:tab w:val="left" w:pos="400"/>
        </w:tabs>
        <w:spacing w:after="70"/>
        <w:ind w:left="400" w:hanging="400"/>
      </w:pPr>
      <w:r>
        <w:t xml:space="preserve">☐</w:t>
      </w:r>
      <w:r>
        <w:t xml:space="preserve">	</w:t>
      </w:r>
      <w:r>
        <w:rPr>
          <w:color w:val="0A7A52"/>
        </w:rPr>
        <w:t xml:space="preserve">[Companies House identity verification as an authorised corporate service provider (ACSP)]</w:t>
      </w:r>
    </w:p>
    <w:p>
      <w:pPr>
        <w:pStyle w:val="Heading1"/>
      </w:pPr>
      <w:r>
        <w:t xml:space="preserve">2. Responsibilities</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2891"/>
        <w:gridCol w:w="1928"/>
        <w:gridCol w:w="4819"/>
      </w:tblGrid>
      <w:tr>
        <w:trPr>
          <w:cantSplit/>
          <w:tblHeader/>
        </w:trPr>
        <w:tc>
          <w:tcPr>
            <w:tcW w:type="dxa" w:w="2891"/>
            <w:shd w:fill="0E3B2C" w:color="auto" w:val="clear"/>
            <w:tcMar>
              <w:top w:type="dxa" w:w="70"/>
              <w:left w:type="dxa" w:w="100"/>
              <w:bottom w:type="dxa" w:w="70"/>
              <w:right w:type="dxa" w:w="100"/>
            </w:tcMar>
          </w:tcPr>
          <w:p>
            <w:pPr>
              <w:spacing w:before="0" w:after="0"/>
            </w:pPr>
            <w:r>
              <w:rPr>
                <w:b/>
                <w:bCs/>
                <w:color w:val="FFFFFF"/>
                <w:sz w:val="19"/>
                <w:szCs w:val="19"/>
              </w:rPr>
              <w:t xml:space="preserve">Role</w:t>
            </w:r>
          </w:p>
        </w:tc>
        <w:tc>
          <w:tcPr>
            <w:tcW w:type="dxa" w:w="1928"/>
            <w:shd w:fill="0E3B2C" w:color="auto" w:val="clear"/>
            <w:tcMar>
              <w:top w:type="dxa" w:w="70"/>
              <w:left w:type="dxa" w:w="100"/>
              <w:bottom w:type="dxa" w:w="70"/>
              <w:right w:type="dxa" w:w="100"/>
            </w:tcMar>
          </w:tcPr>
          <w:p>
            <w:pPr>
              <w:spacing w:before="0" w:after="0"/>
            </w:pPr>
            <w:r>
              <w:rPr>
                <w:b/>
                <w:bCs/>
                <w:color w:val="FFFFFF"/>
                <w:sz w:val="19"/>
                <w:szCs w:val="19"/>
              </w:rPr>
              <w:t xml:space="preserve">Name</w:t>
            </w:r>
          </w:p>
        </w:tc>
        <w:tc>
          <w:tcPr>
            <w:tcW w:type="dxa" w:w="4819"/>
            <w:shd w:fill="0E3B2C" w:color="auto" w:val="clear"/>
            <w:tcMar>
              <w:top w:type="dxa" w:w="70"/>
              <w:left w:type="dxa" w:w="100"/>
              <w:bottom w:type="dxa" w:w="70"/>
              <w:right w:type="dxa" w:w="100"/>
            </w:tcMar>
          </w:tcPr>
          <w:p>
            <w:pPr>
              <w:spacing w:before="0" w:after="0"/>
            </w:pPr>
            <w:r>
              <w:rPr>
                <w:b/>
                <w:bCs/>
                <w:color w:val="FFFFFF"/>
                <w:sz w:val="19"/>
                <w:szCs w:val="19"/>
              </w:rPr>
              <w:t xml:space="preserve">Responsibilities</w:t>
            </w:r>
          </w:p>
        </w:tc>
      </w:tr>
      <w:tr>
        <w:trPr>
          <w:cantSplit/>
        </w:trPr>
        <w:tc>
          <w:tcPr>
            <w:tcW w:type="dxa" w:w="2891"/>
            <w:tcMar>
              <w:top w:type="dxa" w:w="70"/>
              <w:left w:type="dxa" w:w="100"/>
              <w:bottom w:type="dxa" w:w="70"/>
              <w:right w:type="dxa" w:w="100"/>
            </w:tcMar>
          </w:tcPr>
          <w:p>
            <w:pPr>
              <w:spacing w:before="0" w:after="0"/>
            </w:pPr>
            <w:r>
              <w:rPr>
                <w:b w:val="false"/>
                <w:bCs w:val="false"/>
                <w:sz w:val="19"/>
                <w:szCs w:val="19"/>
              </w:rPr>
              <w:t xml:space="preserve">Principal responsible for compliance with the MLRs (regulation 21(1)(a))</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[Name]</w:t>
            </w:r>
          </w:p>
        </w:tc>
        <w:tc>
          <w:tcPr>
            <w:tcW w:type="dxa" w:w="4819"/>
            <w:tcMar>
              <w:top w:type="dxa" w:w="70"/>
              <w:left w:type="dxa" w:w="100"/>
              <w:bottom w:type="dxa" w:w="70"/>
              <w:right w:type="dxa" w:w="100"/>
            </w:tcMar>
          </w:tcPr>
          <w:p>
            <w:pPr>
              <w:spacing w:before="0" w:after="0"/>
            </w:pPr>
            <w:r>
              <w:rPr>
                <w:b w:val="false"/>
                <w:bCs w:val="false"/>
                <w:sz w:val="19"/>
                <w:szCs w:val="19"/>
              </w:rPr>
              <w:t xml:space="preserve">Owns this policy and the practice-wide risk assessment, approves them, approves high-risk and PEP clients, makes sure the practice has the resources to comply.</w:t>
            </w:r>
          </w:p>
        </w:tc>
      </w:tr>
      <w:tr>
        <w:trPr>
          <w:cantSplit/>
        </w:trPr>
        <w:tc>
          <w:tcPr>
            <w:tcW w:type="dxa" w:w="2891"/>
            <w:tcMar>
              <w:top w:type="dxa" w:w="70"/>
              <w:left w:type="dxa" w:w="100"/>
              <w:bottom w:type="dxa" w:w="70"/>
              <w:right w:type="dxa" w:w="100"/>
            </w:tcMar>
          </w:tcPr>
          <w:p>
            <w:pPr>
              <w:spacing w:before="0" w:after="0"/>
            </w:pPr>
            <w:r>
              <w:rPr>
                <w:b w:val="false"/>
                <w:bCs w:val="false"/>
                <w:sz w:val="19"/>
                <w:szCs w:val="19"/>
              </w:rPr>
              <w:t xml:space="preserve">MLRO / nominated officer (regulation 21(3))</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[Name]</w:t>
            </w:r>
          </w:p>
        </w:tc>
        <w:tc>
          <w:tcPr>
            <w:tcW w:type="dxa" w:w="4819"/>
            <w:tcMar>
              <w:top w:type="dxa" w:w="70"/>
              <w:left w:type="dxa" w:w="100"/>
              <w:bottom w:type="dxa" w:w="70"/>
              <w:right w:type="dxa" w:w="100"/>
            </w:tcMar>
          </w:tcPr>
          <w:p>
            <w:pPr>
              <w:spacing w:before="0" w:after="0"/>
            </w:pPr>
            <w:r>
              <w:rPr>
                <w:b w:val="false"/>
                <w:bCs w:val="false"/>
                <w:sz w:val="19"/>
                <w:szCs w:val="19"/>
              </w:rPr>
              <w:t xml:space="preserve">Receives internal reports, decides whether to submit a suspicious activity report (SAR) to the National Crime Agency (NCA), requests a defence against money laundering (DAML), keeps reporting records, advises staff.</w:t>
            </w:r>
          </w:p>
        </w:tc>
      </w:tr>
      <w:tr>
        <w:trPr>
          <w:cantSplit/>
        </w:trPr>
        <w:tc>
          <w:tcPr>
            <w:tcW w:type="dxa" w:w="2891"/>
            <w:tcMar>
              <w:top w:type="dxa" w:w="70"/>
              <w:left w:type="dxa" w:w="100"/>
              <w:bottom w:type="dxa" w:w="70"/>
              <w:right w:type="dxa" w:w="100"/>
            </w:tcMar>
          </w:tcPr>
          <w:p>
            <w:pPr>
              <w:spacing w:before="0" w:after="0"/>
            </w:pPr>
            <w:r>
              <w:rPr>
                <w:b w:val="false"/>
                <w:bCs w:val="false"/>
                <w:sz w:val="19"/>
                <w:szCs w:val="19"/>
              </w:rPr>
              <w:t xml:space="preserve">Deputy MLRO</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[Name]</w:t>
            </w:r>
          </w:p>
        </w:tc>
        <w:tc>
          <w:tcPr>
            <w:tcW w:type="dxa" w:w="4819"/>
            <w:tcMar>
              <w:top w:type="dxa" w:w="70"/>
              <w:left w:type="dxa" w:w="100"/>
              <w:bottom w:type="dxa" w:w="70"/>
              <w:right w:type="dxa" w:w="100"/>
            </w:tcMar>
          </w:tcPr>
          <w:p>
            <w:pPr>
              <w:spacing w:before="0" w:after="0"/>
            </w:pPr>
            <w:r>
              <w:rPr>
                <w:b w:val="false"/>
                <w:bCs w:val="false"/>
                <w:sz w:val="19"/>
                <w:szCs w:val="19"/>
              </w:rPr>
              <w:t xml:space="preserve">Covers the MLRO during absence.</w:t>
            </w:r>
          </w:p>
        </w:tc>
      </w:tr>
      <w:tr>
        <w:trPr>
          <w:cantSplit/>
        </w:trPr>
        <w:tc>
          <w:tcPr>
            <w:tcW w:type="dxa" w:w="2891"/>
            <w:tcMar>
              <w:top w:type="dxa" w:w="70"/>
              <w:left w:type="dxa" w:w="100"/>
              <w:bottom w:type="dxa" w:w="70"/>
              <w:right w:type="dxa" w:w="100"/>
            </w:tcMar>
          </w:tcPr>
          <w:p>
            <w:pPr>
              <w:spacing w:before="0" w:after="0"/>
            </w:pPr>
            <w:r>
              <w:rPr>
                <w:b w:val="false"/>
                <w:bCs w:val="false"/>
                <w:sz w:val="19"/>
                <w:szCs w:val="19"/>
              </w:rPr>
              <w:t xml:space="preserve">All staff</w:t>
            </w:r>
          </w:p>
        </w:tc>
        <w:tc>
          <w:tcPr>
            <w:tcW w:type="dxa" w:w="1928"/>
            <w:tcMar>
              <w:top w:type="dxa" w:w="70"/>
              <w:left w:type="dxa" w:w="100"/>
              <w:bottom w:type="dxa" w:w="70"/>
              <w:right w:type="dxa" w:w="100"/>
            </w:tcMar>
          </w:tcPr>
          <w:p>
            <w:pPr>
              <w:spacing w:before="0" w:after="0"/>
            </w:pPr>
            <w:r>
              <w:rPr>
                <w:b w:val="false"/>
                <w:bCs w:val="false"/>
                <w:sz w:val="19"/>
                <w:szCs w:val="19"/>
              </w:rPr>
              <w:t xml:space="preserve">—</w:t>
            </w:r>
          </w:p>
        </w:tc>
        <w:tc>
          <w:tcPr>
            <w:tcW w:type="dxa" w:w="4819"/>
            <w:tcMar>
              <w:top w:type="dxa" w:w="70"/>
              <w:left w:type="dxa" w:w="100"/>
              <w:bottom w:type="dxa" w:w="70"/>
              <w:right w:type="dxa" w:w="100"/>
            </w:tcMar>
          </w:tcPr>
          <w:p>
            <w:pPr>
              <w:spacing w:before="0" w:after="0"/>
            </w:pPr>
            <w:r>
              <w:rPr>
                <w:b w:val="false"/>
                <w:bCs w:val="false"/>
                <w:sz w:val="19"/>
                <w:szCs w:val="19"/>
              </w:rPr>
              <w:t xml:space="preserve">Follow this policy, complete training, report suspicions promptly and never tip off.</w:t>
            </w:r>
          </w:p>
        </w:tc>
      </w:tr>
    </w:tbl>
    <w:p>
      <w:pPr>
        <w:spacing w:before="0" w:after="0"/>
      </w:pPr>
    </w:p>
    <w:p>
      <w:pPr>
        <w:spacing w:after="120"/>
      </w:pPr>
      <w:r>
        <w:t xml:space="preserve">We tell our supervisor who holds the compliance and nominated officer roles, and any change, within 14 days (regulation 21(4)). Each beneficial owner, officer and manager of the practice has been approved by our supervisor where required (regulation 26).</w:t>
      </w: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A sole practitioner who has no employees and does not act in association with anyone else does not need to appoint a nominated officer (regulation 21(6)), but must still report suspicions to the NCA. AMLGAS section 3.3 explains the differences for sole practitioners.</w:t>
            </w:r>
          </w:p>
        </w:tc>
      </w:tr>
    </w:tbl>
    <w:p>
      <w:pPr>
        <w:spacing w:before="0" w:after="0"/>
      </w:pPr>
    </w:p>
    <w:p>
      <w:pPr>
        <w:pStyle w:val="Heading1"/>
      </w:pPr>
      <w:r>
        <w:t xml:space="preserve">3. Our risk-based approach</w:t>
      </w:r>
    </w:p>
    <w:p>
      <w:pPr>
        <w:spacing w:after="120"/>
      </w:pPr>
      <w:r>
        <w:t xml:space="preserve">Our practice-wide risk assessment dated </w:t>
      </w:r>
      <w:r>
        <w:rPr>
          <w:color w:val="0A7A52"/>
        </w:rPr>
        <w:t xml:space="preserve">[date]</w:t>
      </w:r>
      <w:r>
        <w:t xml:space="preserve"> identifies our main risks as:</w:t>
      </w:r>
    </w:p>
    <w:p>
      <w:pPr>
        <w:pStyle w:val="ListParagraph"/>
        <w:numPr>
          <w:ilvl w:val="0"/>
          <w:numId w:val="2"/>
        </w:numPr>
        <w:spacing w:after="60"/>
      </w:pPr>
      <w:r>
        <w:rPr>
          <w:color w:val="0A7A52"/>
        </w:rPr>
        <w:t xml:space="preserve">[e.g. cash-intensive clients such as hospitality or car washes]</w:t>
      </w:r>
    </w:p>
    <w:p>
      <w:pPr>
        <w:pStyle w:val="ListParagraph"/>
        <w:numPr>
          <w:ilvl w:val="0"/>
          <w:numId w:val="2"/>
        </w:numPr>
        <w:spacing w:after="60"/>
      </w:pPr>
      <w:r>
        <w:rPr>
          <w:color w:val="0A7A52"/>
        </w:rPr>
        <w:t xml:space="preserve">[e.g. clients we never meet in person]</w:t>
      </w:r>
    </w:p>
    <w:p>
      <w:pPr>
        <w:pStyle w:val="ListParagraph"/>
        <w:numPr>
          <w:ilvl w:val="0"/>
          <w:numId w:val="2"/>
        </w:numPr>
        <w:spacing w:after="60"/>
      </w:pPr>
      <w:r>
        <w:rPr>
          <w:color w:val="0A7A52"/>
        </w:rPr>
        <w:t xml:space="preserve">[e.g. company formation and registered office services]</w:t>
      </w:r>
    </w:p>
    <w:p>
      <w:pPr>
        <w:pStyle w:val="ListParagraph"/>
        <w:numPr>
          <w:ilvl w:val="0"/>
          <w:numId w:val="2"/>
        </w:numPr>
        <w:spacing w:after="60"/>
      </w:pPr>
      <w:r>
        <w:rPr>
          <w:color w:val="0A7A52"/>
        </w:rPr>
        <w:t xml:space="preserve">[e.g. clients with overseas owners or income]</w:t>
      </w:r>
    </w:p>
    <w:p>
      <w:pPr>
        <w:spacing w:after="120"/>
      </w:pPr>
      <w:r>
        <w:t xml:space="preserve">Before we accept an engagement, we complete a client risk assessment and give the client a risk category of low, normal or high (AMLGAS 4.5.4). The category decides the level of CDD, who must approve the engagement and how often we review it.</w:t>
      </w:r>
    </w:p>
    <w:p>
      <w:pPr>
        <w:pStyle w:val="Heading1"/>
      </w:pPr>
      <w:r>
        <w:t xml:space="preserve">4. Client due diligence (CDD)</w:t>
      </w:r>
    </w:p>
    <w:p>
      <w:pPr>
        <w:pStyle w:val="Heading2"/>
      </w:pPr>
      <w:r>
        <w:t xml:space="preserve">4.1 When we apply CDD</w:t>
      </w:r>
    </w:p>
    <w:p>
      <w:pPr>
        <w:pStyle w:val="ListParagraph"/>
        <w:numPr>
          <w:ilvl w:val="0"/>
          <w:numId w:val="2"/>
        </w:numPr>
        <w:spacing w:after="60"/>
      </w:pPr>
      <w:r>
        <w:t xml:space="preserve">Before we enter into a business relationship, normally before the engagement letter is signed and before we start work (AMLGAS 5.2.1).</w:t>
      </w:r>
    </w:p>
    <w:p>
      <w:pPr>
        <w:pStyle w:val="ListParagraph"/>
        <w:numPr>
          <w:ilvl w:val="0"/>
          <w:numId w:val="2"/>
        </w:numPr>
        <w:spacing w:after="60"/>
      </w:pPr>
      <w:r>
        <w:t xml:space="preserve">For an occasional transaction of £12,000 or more, including linked transactions (regulation 27, as amended).</w:t>
      </w:r>
    </w:p>
    <w:p>
      <w:pPr>
        <w:pStyle w:val="ListParagraph"/>
        <w:numPr>
          <w:ilvl w:val="0"/>
          <w:numId w:val="2"/>
        </w:numPr>
        <w:spacing w:after="60"/>
      </w:pPr>
      <w:r>
        <w:t xml:space="preserve">When we suspect money laundering or terrorist financing, whatever the amount.</w:t>
      </w:r>
    </w:p>
    <w:p>
      <w:pPr>
        <w:pStyle w:val="ListParagraph"/>
        <w:numPr>
          <w:ilvl w:val="0"/>
          <w:numId w:val="2"/>
        </w:numPr>
        <w:spacing w:after="60"/>
      </w:pPr>
      <w:r>
        <w:t xml:space="preserve">When we doubt information obtained earlier.</w:t>
      </w:r>
    </w:p>
    <w:p>
      <w:pPr>
        <w:pStyle w:val="ListParagraph"/>
        <w:numPr>
          <w:ilvl w:val="0"/>
          <w:numId w:val="2"/>
        </w:numPr>
        <w:spacing w:after="60"/>
      </w:pPr>
      <w:r>
        <w:t xml:space="preserve">For existing clients, when their circumstances or the services they need change, and at the review intervals in section 7.</w:t>
      </w:r>
    </w:p>
    <w:p>
      <w:pPr>
        <w:spacing w:after="120"/>
      </w:pPr>
      <w:r>
        <w:t xml:space="preserve">If we cannot complete CDD, we do not act, we end any existing relationship, and the MLRO considers whether to submit a SAR (regulation 31).</w:t>
      </w:r>
    </w:p>
    <w:p>
      <w:pPr>
        <w:pStyle w:val="Heading2"/>
      </w:pPr>
      <w:r>
        <w:t xml:space="preserve">4.2 What we collect and verify</w:t>
      </w:r>
    </w:p>
    <w:p>
      <w:pPr>
        <w:spacing w:after="120"/>
      </w:pPr>
      <w:r>
        <w:t xml:space="preserve">We use the CDD checklist </w:t>
      </w:r>
      <w:r>
        <w:rPr>
          <w:color w:val="0A7A52"/>
        </w:rPr>
        <w:t xml:space="preserve">[Appendix / separate document]</w:t>
      </w:r>
      <w:r>
        <w:t xml:space="preserve"> for every client:</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1687"/>
        <w:gridCol w:w="3855"/>
        <w:gridCol w:w="4096"/>
      </w:tblGrid>
      <w:tr>
        <w:trPr>
          <w:cantSplit/>
          <w:tblHeader/>
        </w:trPr>
        <w:tc>
          <w:tcPr>
            <w:tcW w:type="dxa" w:w="1687"/>
            <w:shd w:fill="0E3B2C" w:color="auto" w:val="clear"/>
            <w:tcMar>
              <w:top w:type="dxa" w:w="70"/>
              <w:left w:type="dxa" w:w="100"/>
              <w:bottom w:type="dxa" w:w="70"/>
              <w:right w:type="dxa" w:w="100"/>
            </w:tcMar>
          </w:tcPr>
          <w:p>
            <w:pPr>
              <w:spacing w:before="0" w:after="0"/>
            </w:pPr>
            <w:r>
              <w:rPr>
                <w:b/>
                <w:bCs/>
                <w:color w:val="FFFFFF"/>
                <w:sz w:val="19"/>
                <w:szCs w:val="19"/>
              </w:rPr>
              <w:t xml:space="preserve">Client type</w:t>
            </w:r>
          </w:p>
        </w:tc>
        <w:tc>
          <w:tcPr>
            <w:tcW w:type="dxa" w:w="3855"/>
            <w:shd w:fill="0E3B2C" w:color="auto" w:val="clear"/>
            <w:tcMar>
              <w:top w:type="dxa" w:w="70"/>
              <w:left w:type="dxa" w:w="100"/>
              <w:bottom w:type="dxa" w:w="70"/>
              <w:right w:type="dxa" w:w="100"/>
            </w:tcMar>
          </w:tcPr>
          <w:p>
            <w:pPr>
              <w:spacing w:before="0" w:after="0"/>
            </w:pPr>
            <w:r>
              <w:rPr>
                <w:b/>
                <w:bCs/>
                <w:color w:val="FFFFFF"/>
                <w:sz w:val="19"/>
                <w:szCs w:val="19"/>
              </w:rPr>
              <w:t xml:space="preserve">Identify</w:t>
            </w:r>
          </w:p>
        </w:tc>
        <w:tc>
          <w:tcPr>
            <w:tcW w:type="dxa" w:w="4096"/>
            <w:shd w:fill="0E3B2C" w:color="auto" w:val="clear"/>
            <w:tcMar>
              <w:top w:type="dxa" w:w="70"/>
              <w:left w:type="dxa" w:w="100"/>
              <w:bottom w:type="dxa" w:w="70"/>
              <w:right w:type="dxa" w:w="100"/>
            </w:tcMar>
          </w:tcPr>
          <w:p>
            <w:pPr>
              <w:spacing w:before="0" w:after="0"/>
            </w:pPr>
            <w:r>
              <w:rPr>
                <w:b/>
                <w:bCs/>
                <w:color w:val="FFFFFF"/>
                <w:sz w:val="19"/>
                <w:szCs w:val="19"/>
              </w:rPr>
              <w:t xml:space="preserve">Verify</w:t>
            </w:r>
          </w:p>
        </w:tc>
      </w:tr>
      <w:tr>
        <w:trPr>
          <w:cantSplit/>
        </w:trPr>
        <w:tc>
          <w:tcPr>
            <w:tcW w:type="dxa" w:w="1687"/>
            <w:tcMar>
              <w:top w:type="dxa" w:w="70"/>
              <w:left w:type="dxa" w:w="100"/>
              <w:bottom w:type="dxa" w:w="70"/>
              <w:right w:type="dxa" w:w="100"/>
            </w:tcMar>
          </w:tcPr>
          <w:p>
            <w:pPr>
              <w:spacing w:before="0" w:after="0"/>
            </w:pPr>
            <w:r>
              <w:rPr>
                <w:b w:val="false"/>
                <w:bCs w:val="false"/>
                <w:sz w:val="19"/>
                <w:szCs w:val="19"/>
              </w:rPr>
              <w:t xml:space="preserve">Individual or sole trader</w:t>
            </w:r>
          </w:p>
        </w:tc>
        <w:tc>
          <w:tcPr>
            <w:tcW w:type="dxa" w:w="3855"/>
            <w:tcMar>
              <w:top w:type="dxa" w:w="70"/>
              <w:left w:type="dxa" w:w="100"/>
              <w:bottom w:type="dxa" w:w="70"/>
              <w:right w:type="dxa" w:w="100"/>
            </w:tcMar>
          </w:tcPr>
          <w:p>
            <w:pPr>
              <w:spacing w:before="0" w:after="0"/>
            </w:pPr>
            <w:r>
              <w:rPr>
                <w:b w:val="false"/>
                <w:bCs w:val="false"/>
                <w:sz w:val="19"/>
                <w:szCs w:val="19"/>
              </w:rPr>
              <w:t xml:space="preserve">Full name, date of birth, residential address, trading name and address</w:t>
            </w:r>
          </w:p>
        </w:tc>
        <w:tc>
          <w:tcPr>
            <w:tcW w:type="dxa" w:w="4096"/>
            <w:tcMar>
              <w:top w:type="dxa" w:w="70"/>
              <w:left w:type="dxa" w:w="100"/>
              <w:bottom w:type="dxa" w:w="70"/>
              <w:right w:type="dxa" w:w="100"/>
            </w:tcMar>
          </w:tcPr>
          <w:p>
            <w:pPr>
              <w:spacing w:before="0" w:after="0"/>
            </w:pPr>
            <w:r>
              <w:rPr>
                <w:b w:val="false"/>
                <w:bCs w:val="false"/>
                <w:sz w:val="19"/>
                <w:szCs w:val="19"/>
              </w:rPr>
              <w:t xml:space="preserve">Photo ID plus proof of address, or an electronic check from a reliable, independent source</w:t>
            </w:r>
          </w:p>
        </w:tc>
      </w:tr>
      <w:tr>
        <w:trPr>
          <w:cantSplit/>
        </w:trPr>
        <w:tc>
          <w:tcPr>
            <w:tcW w:type="dxa" w:w="1687"/>
            <w:tcMar>
              <w:top w:type="dxa" w:w="70"/>
              <w:left w:type="dxa" w:w="100"/>
              <w:bottom w:type="dxa" w:w="70"/>
              <w:right w:type="dxa" w:w="100"/>
            </w:tcMar>
          </w:tcPr>
          <w:p>
            <w:pPr>
              <w:spacing w:before="0" w:after="0"/>
            </w:pPr>
            <w:r>
              <w:rPr>
                <w:b w:val="false"/>
                <w:bCs w:val="false"/>
                <w:sz w:val="19"/>
                <w:szCs w:val="19"/>
              </w:rPr>
              <w:t xml:space="preserve">Company or LLP</w:t>
            </w:r>
          </w:p>
        </w:tc>
        <w:tc>
          <w:tcPr>
            <w:tcW w:type="dxa" w:w="3855"/>
            <w:tcMar>
              <w:top w:type="dxa" w:w="70"/>
              <w:left w:type="dxa" w:w="100"/>
              <w:bottom w:type="dxa" w:w="70"/>
              <w:right w:type="dxa" w:w="100"/>
            </w:tcMar>
          </w:tcPr>
          <w:p>
            <w:pPr>
              <w:spacing w:before="0" w:after="0"/>
            </w:pPr>
            <w:r>
              <w:rPr>
                <w:b w:val="false"/>
                <w:bCs w:val="false"/>
                <w:sz w:val="19"/>
                <w:szCs w:val="19"/>
              </w:rPr>
              <w:t xml:space="preserve">Name, number, registered office, principal place of business, directors or members, beneficial owners, ownership and control structure (regulation 28(3), (3A))</w:t>
            </w:r>
          </w:p>
        </w:tc>
        <w:tc>
          <w:tcPr>
            <w:tcW w:type="dxa" w:w="4096"/>
            <w:tcMar>
              <w:top w:type="dxa" w:w="70"/>
              <w:left w:type="dxa" w:w="100"/>
              <w:bottom w:type="dxa" w:w="70"/>
              <w:right w:type="dxa" w:w="100"/>
            </w:tcMar>
          </w:tcPr>
          <w:p>
            <w:pPr>
              <w:spacing w:before="0" w:after="0"/>
            </w:pPr>
            <w:r>
              <w:rPr>
                <w:b w:val="false"/>
                <w:bCs w:val="false"/>
                <w:sz w:val="19"/>
                <w:szCs w:val="19"/>
              </w:rPr>
              <w:t xml:space="preserve">Companies House record plus our own steps to verify each beneficial owner on a risk basis; we do not rely only on the register (regulation 28(9))</w:t>
            </w:r>
          </w:p>
        </w:tc>
      </w:tr>
      <w:tr>
        <w:trPr>
          <w:cantSplit/>
        </w:trPr>
        <w:tc>
          <w:tcPr>
            <w:tcW w:type="dxa" w:w="1687"/>
            <w:tcMar>
              <w:top w:type="dxa" w:w="70"/>
              <w:left w:type="dxa" w:w="100"/>
              <w:bottom w:type="dxa" w:w="70"/>
              <w:right w:type="dxa" w:w="100"/>
            </w:tcMar>
          </w:tcPr>
          <w:p>
            <w:pPr>
              <w:spacing w:before="0" w:after="0"/>
            </w:pPr>
            <w:r>
              <w:rPr>
                <w:b w:val="false"/>
                <w:bCs w:val="false"/>
                <w:sz w:val="19"/>
                <w:szCs w:val="19"/>
              </w:rPr>
              <w:t xml:space="preserve">Partnership</w:t>
            </w:r>
          </w:p>
        </w:tc>
        <w:tc>
          <w:tcPr>
            <w:tcW w:type="dxa" w:w="3855"/>
            <w:tcMar>
              <w:top w:type="dxa" w:w="70"/>
              <w:left w:type="dxa" w:w="100"/>
              <w:bottom w:type="dxa" w:w="70"/>
              <w:right w:type="dxa" w:w="100"/>
            </w:tcMar>
          </w:tcPr>
          <w:p>
            <w:pPr>
              <w:spacing w:before="0" w:after="0"/>
            </w:pPr>
            <w:r>
              <w:rPr>
                <w:b w:val="false"/>
                <w:bCs w:val="false"/>
                <w:sz w:val="19"/>
                <w:szCs w:val="19"/>
              </w:rPr>
              <w:t xml:space="preserve">Partners, business address, partnership agreement where relevant</w:t>
            </w:r>
          </w:p>
        </w:tc>
        <w:tc>
          <w:tcPr>
            <w:tcW w:type="dxa" w:w="4096"/>
            <w:tcMar>
              <w:top w:type="dxa" w:w="70"/>
              <w:left w:type="dxa" w:w="100"/>
              <w:bottom w:type="dxa" w:w="70"/>
              <w:right w:type="dxa" w:w="100"/>
            </w:tcMar>
          </w:tcPr>
          <w:p>
            <w:pPr>
              <w:spacing w:before="0" w:after="0"/>
            </w:pPr>
            <w:r>
              <w:rPr>
                <w:b w:val="false"/>
                <w:bCs w:val="false"/>
                <w:sz w:val="19"/>
                <w:szCs w:val="19"/>
              </w:rPr>
              <w:t xml:space="preserve">ID for partners on a risk basis</w:t>
            </w:r>
          </w:p>
        </w:tc>
      </w:tr>
      <w:tr>
        <w:trPr>
          <w:cantSplit/>
        </w:trPr>
        <w:tc>
          <w:tcPr>
            <w:tcW w:type="dxa" w:w="1687"/>
            <w:tcMar>
              <w:top w:type="dxa" w:w="70"/>
              <w:left w:type="dxa" w:w="100"/>
              <w:bottom w:type="dxa" w:w="70"/>
              <w:right w:type="dxa" w:w="100"/>
            </w:tcMar>
          </w:tcPr>
          <w:p>
            <w:pPr>
              <w:spacing w:before="0" w:after="0"/>
            </w:pPr>
            <w:r>
              <w:rPr>
                <w:b w:val="false"/>
                <w:bCs w:val="false"/>
                <w:sz w:val="19"/>
                <w:szCs w:val="19"/>
              </w:rPr>
              <w:t xml:space="preserve">Trust or charity</w:t>
            </w:r>
          </w:p>
        </w:tc>
        <w:tc>
          <w:tcPr>
            <w:tcW w:type="dxa" w:w="3855"/>
            <w:tcMar>
              <w:top w:type="dxa" w:w="70"/>
              <w:left w:type="dxa" w:w="100"/>
              <w:bottom w:type="dxa" w:w="70"/>
              <w:right w:type="dxa" w:w="100"/>
            </w:tcMar>
          </w:tcPr>
          <w:p>
            <w:pPr>
              <w:spacing w:before="0" w:after="0"/>
            </w:pPr>
            <w:r>
              <w:rPr>
                <w:b w:val="false"/>
                <w:bCs w:val="false"/>
                <w:sz w:val="19"/>
                <w:szCs w:val="19"/>
              </w:rPr>
              <w:t xml:space="preserve">Trustees, settlor, beneficiaries or class, protector, controllers</w:t>
            </w:r>
          </w:p>
        </w:tc>
        <w:tc>
          <w:tcPr>
            <w:tcW w:type="dxa" w:w="4096"/>
            <w:tcMar>
              <w:top w:type="dxa" w:w="70"/>
              <w:left w:type="dxa" w:w="100"/>
              <w:bottom w:type="dxa" w:w="70"/>
              <w:right w:type="dxa" w:w="100"/>
            </w:tcMar>
          </w:tcPr>
          <w:p>
            <w:pPr>
              <w:spacing w:before="0" w:after="0"/>
            </w:pPr>
            <w:r>
              <w:rPr>
                <w:b w:val="false"/>
                <w:bCs w:val="false"/>
                <w:sz w:val="19"/>
                <w:szCs w:val="19"/>
              </w:rPr>
              <w:t xml:space="preserve">Trust deed or extract, Trust Registration Service proof where registrable, ID for trustees on a risk basis</w:t>
            </w:r>
          </w:p>
        </w:tc>
      </w:tr>
    </w:tbl>
    <w:p>
      <w:pPr>
        <w:spacing w:before="0" w:after="0"/>
      </w:pPr>
    </w:p>
    <w:p>
      <w:pPr>
        <w:spacing w:after="120"/>
      </w:pPr>
      <w:r>
        <w:t xml:space="preserve">We also record the purpose and intended nature of the relationship: what services the client wants and why, the nature of the client’s business and the expected level of activity. Where the client is a company or registrable trust we check the register before we start and report any material discrepancy to Companies House or HMRC (regulation 30A).</w:t>
      </w:r>
    </w:p>
    <w:p>
      <w:pPr>
        <w:pStyle w:val="Heading2"/>
      </w:pPr>
      <w:r>
        <w:t xml:space="preserve">4.3 Electronic identity verification</w:t>
      </w:r>
    </w:p>
    <w:p>
      <w:pPr>
        <w:spacing w:after="120"/>
      </w:pPr>
      <w:r>
        <w:t xml:space="preserve">We verify identity using </w:t>
      </w:r>
      <w:r>
        <w:rPr>
          <w:color w:val="0A7A52"/>
        </w:rPr>
        <w:t xml:space="preserve">[documents seen in person / certified copies / an electronic identity verification service]</w:t>
      </w:r>
      <w:r>
        <w:t xml:space="preserve">. If you want to run electronic ID and screening checks, you can use a provider of your choice; for example, AML Buddy (amlbuddy.com) sends the client a secure link for ID document and selfie verification, address matching, sanctions, PEP and adverse media screening, and produces a timestamped report for your file.</w:t>
      </w: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HMRC’s guidance (AMLG11400, section 14.5) says services certified against the UK digital identity and attributes trust framework and on the DVS register are a reliable and independent source, and a provider not on the register cannot reliably be deemed suitable. Record which provider you use and why you consider it reliable.</w:t>
            </w:r>
          </w:p>
        </w:tc>
      </w:tr>
    </w:tbl>
    <w:p>
      <w:pPr>
        <w:spacing w:before="0" w:after="0"/>
      </w:pPr>
    </w:p>
    <w:p>
      <w:pPr>
        <w:pStyle w:val="Heading2"/>
      </w:pPr>
      <w:r>
        <w:t xml:space="preserve">4.4 Enhanced due diligence (EDD)</w:t>
      </w:r>
    </w:p>
    <w:p>
      <w:pPr>
        <w:spacing w:after="120"/>
      </w:pPr>
      <w:r>
        <w:t xml:space="preserve">We apply EDD and enhanced ongoing monitoring (regulation 33) where:</w:t>
      </w:r>
    </w:p>
    <w:p>
      <w:pPr>
        <w:pStyle w:val="ListParagraph"/>
        <w:numPr>
          <w:ilvl w:val="0"/>
          <w:numId w:val="2"/>
        </w:numPr>
        <w:spacing w:after="60"/>
      </w:pPr>
      <w:r>
        <w:t xml:space="preserve">our risk assessment or the client risk assessment shows a high risk;</w:t>
      </w:r>
    </w:p>
    <w:p>
      <w:pPr>
        <w:pStyle w:val="ListParagraph"/>
        <w:numPr>
          <w:ilvl w:val="0"/>
          <w:numId w:val="2"/>
        </w:numPr>
        <w:spacing w:after="60"/>
      </w:pPr>
      <w:r>
        <w:t xml:space="preserve">the client or a counterparty to a relevant transaction is established in a FATF “call for action” country (check the current FATF list; at the 19 June 2026 update this was North Korea, Iran and Myanmar);</w:t>
      </w:r>
    </w:p>
    <w:p>
      <w:pPr>
        <w:pStyle w:val="ListParagraph"/>
        <w:numPr>
          <w:ilvl w:val="0"/>
          <w:numId w:val="2"/>
        </w:numPr>
        <w:spacing w:after="60"/>
      </w:pPr>
      <w:r>
        <w:t xml:space="preserve">the client, a beneficial owner, or their family member or known close associate is a politically exposed person (PEP);</w:t>
      </w:r>
    </w:p>
    <w:p>
      <w:pPr>
        <w:pStyle w:val="ListParagraph"/>
        <w:numPr>
          <w:ilvl w:val="0"/>
          <w:numId w:val="2"/>
        </w:numPr>
        <w:spacing w:after="60"/>
      </w:pPr>
      <w:r>
        <w:t xml:space="preserve">the client has provided false or stolen identity documents or information;</w:t>
      </w:r>
    </w:p>
    <w:p>
      <w:pPr>
        <w:pStyle w:val="ListParagraph"/>
        <w:numPr>
          <w:ilvl w:val="0"/>
          <w:numId w:val="2"/>
        </w:numPr>
        <w:spacing w:after="60"/>
      </w:pPr>
      <w:r>
        <w:t xml:space="preserve">a transaction is unusually complex or unusually large for its nature, follows an unusual pattern or has no apparent economic or legal purpose;</w:t>
      </w:r>
    </w:p>
    <w:p>
      <w:pPr>
        <w:pStyle w:val="ListParagraph"/>
        <w:numPr>
          <w:ilvl w:val="0"/>
          <w:numId w:val="2"/>
        </w:numPr>
        <w:spacing w:after="60"/>
      </w:pPr>
      <w:r>
        <w:t xml:space="preserve">any other case that by its nature presents a higher risk.</w:t>
      </w:r>
    </w:p>
    <w:p>
      <w:pPr>
        <w:spacing w:after="120"/>
      </w:pPr>
      <w:r>
        <w:t xml:space="preserve">EDD means </w:t>
      </w:r>
      <w:r>
        <w:rPr>
          <w:color w:val="0A7A52"/>
        </w:rPr>
        <w:t xml:space="preserve">[additional ID evidence / evidence of source of funds and source of wealth / principal approval before engagement / more frequent reviews / a meeting in person or by video]</w:t>
      </w:r>
      <w:r>
        <w:t xml:space="preserve">. Clients linked to grey-list countries are no longer an automatic EDD trigger, but we assess them on risk.</w:t>
      </w:r>
    </w:p>
    <w:p>
      <w:pPr>
        <w:pStyle w:val="Heading2"/>
      </w:pPr>
      <w:r>
        <w:t xml:space="preserve">4.5 PEPs</w:t>
      </w:r>
    </w:p>
    <w:p>
      <w:pPr>
        <w:spacing w:after="120"/>
      </w:pPr>
      <w:r>
        <w:t xml:space="preserve">We screen every client and beneficial owner for PEP status. For a PEP, family member or known close associate we obtain </w:t>
      </w:r>
      <w:r>
        <w:rPr>
          <w:color w:val="0A7A52"/>
        </w:rPr>
        <w:t xml:space="preserve">[principal]</w:t>
      </w:r>
      <w:r>
        <w:t xml:space="preserve"> approval, take adequate measures to establish source of wealth and source of funds, and apply enhanced ongoing monitoring (regulation 35). UK PEPs are treated as lower risk unless other factors indicate higher risk (HMRC AMLG11650). We continue EDD for at least 12 months after a PEP leaves office.</w:t>
      </w:r>
    </w:p>
    <w:p>
      <w:pPr>
        <w:pStyle w:val="Heading2"/>
      </w:pPr>
      <w:r>
        <w:t xml:space="preserve">4.6 Sanctions</w:t>
      </w:r>
    </w:p>
    <w:p>
      <w:pPr>
        <w:spacing w:after="120"/>
      </w:pPr>
      <w:r>
        <w:t xml:space="preserve">We check every client and beneficial owner against the UK sanctions list at onboarding and </w:t>
      </w:r>
      <w:r>
        <w:rPr>
          <w:color w:val="0A7A52"/>
        </w:rPr>
        <w:t xml:space="preserve">[during ongoing monitoring]</w:t>
      </w:r>
      <w:r>
        <w:t xml:space="preserve">. If there is a match, we stop work, do not deal with any funds or assets, and the MLRO decides on reporting to the Office of Financial Sanctions Implementation (OFSI) and the NCA.</w:t>
      </w:r>
    </w:p>
    <w:p>
      <w:pPr>
        <w:pStyle w:val="Heading2"/>
      </w:pPr>
      <w:r>
        <w:t xml:space="preserve">4.7 Simplified due diligence and reliance</w:t>
      </w:r>
    </w:p>
    <w:p>
      <w:pPr>
        <w:spacing w:after="120"/>
      </w:pPr>
      <w:r>
        <w:rPr>
          <w:color w:val="0A7A52"/>
        </w:rPr>
        <w:t xml:space="preserve">[We apply simplified due diligence only where the risk is assessed and documented as low and regulation 37 allows it.]</w:t>
      </w:r>
      <w:r>
        <w:t xml:space="preserve"> </w:t>
      </w:r>
      <w:r>
        <w:rPr>
          <w:color w:val="0A7A52"/>
        </w:rPr>
        <w:t xml:space="preserve">[We rely on another regulated firm’s CDD only under a written regulation 39 arrangement, and remain liable for any failure.]</w:t>
      </w:r>
    </w:p>
    <w:p>
      <w:pPr>
        <w:pStyle w:val="Heading1"/>
      </w:pPr>
      <w:r>
        <w:t xml:space="preserve">5. Red flags for accountancy practices</w:t>
      </w:r>
    </w:p>
    <w:p>
      <w:pPr>
        <w:pStyle w:val="ListParagraph"/>
        <w:numPr>
          <w:ilvl w:val="0"/>
          <w:numId w:val="2"/>
        </w:numPr>
        <w:spacing w:after="60"/>
      </w:pPr>
      <w:r>
        <w:t xml:space="preserve">Requests for services with no clear business reason, or a client who is secretive about ownership or activity.</w:t>
      </w:r>
    </w:p>
    <w:p>
      <w:pPr>
        <w:pStyle w:val="ListParagraph"/>
        <w:numPr>
          <w:ilvl w:val="0"/>
          <w:numId w:val="2"/>
        </w:numPr>
        <w:spacing w:after="60"/>
      </w:pPr>
      <w:r>
        <w:t xml:space="preserve">Records that are incomplete or unverified, or pressure to rely on them.</w:t>
      </w:r>
    </w:p>
    <w:p>
      <w:pPr>
        <w:pStyle w:val="ListParagraph"/>
        <w:numPr>
          <w:ilvl w:val="0"/>
          <w:numId w:val="2"/>
        </w:numPr>
        <w:spacing w:after="60"/>
      </w:pPr>
      <w:r>
        <w:t xml:space="preserve">Money flows that do not match the client’s business, overpayments followed by refund requests, or funds from unknown sources.</w:t>
      </w:r>
    </w:p>
    <w:p>
      <w:pPr>
        <w:pStyle w:val="ListParagraph"/>
        <w:numPr>
          <w:ilvl w:val="0"/>
          <w:numId w:val="2"/>
        </w:numPr>
        <w:spacing w:after="60"/>
      </w:pPr>
      <w:r>
        <w:t xml:space="preserve">Frequent changes of owners, directors or shareholders, or a structure that looks like a shell company.</w:t>
      </w:r>
    </w:p>
    <w:p>
      <w:pPr>
        <w:pStyle w:val="ListParagraph"/>
        <w:numPr>
          <w:ilvl w:val="0"/>
          <w:numId w:val="2"/>
        </w:numPr>
        <w:spacing w:after="60"/>
      </w:pPr>
      <w:r>
        <w:t xml:space="preserve">Cash-intensive businesses, or labour-intensive or grant-dependent sectors with unusual figures.</w:t>
      </w:r>
    </w:p>
    <w:p>
      <w:pPr>
        <w:pStyle w:val="ListParagraph"/>
        <w:numPr>
          <w:ilvl w:val="0"/>
          <w:numId w:val="2"/>
        </w:numPr>
        <w:spacing w:after="60"/>
      </w:pPr>
      <w:r>
        <w:t xml:space="preserve">Payroll irregularities: round-sum salaries, payments direct from the client’s account, pressure to reduce PAYE or NIC reporting.</w:t>
      </w:r>
    </w:p>
    <w:p>
      <w:pPr>
        <w:pStyle w:val="ListParagraph"/>
        <w:numPr>
          <w:ilvl w:val="0"/>
          <w:numId w:val="2"/>
        </w:numPr>
        <w:spacing w:after="60"/>
      </w:pPr>
      <w:r>
        <w:t xml:space="preserve">Pressure to reduce tax bills unlawfully, or willingness to take tax risks.</w:t>
      </w:r>
    </w:p>
    <w:p>
      <w:pPr>
        <w:pStyle w:val="ListParagraph"/>
        <w:numPr>
          <w:ilvl w:val="0"/>
          <w:numId w:val="2"/>
        </w:numPr>
        <w:spacing w:after="60"/>
      </w:pPr>
      <w:r>
        <w:t xml:space="preserve">Services split between several accountants without good reason.</w:t>
      </w:r>
    </w:p>
    <w:p>
      <w:pPr>
        <w:pStyle w:val="ListParagraph"/>
        <w:numPr>
          <w:ilvl w:val="0"/>
          <w:numId w:val="2"/>
        </w:numPr>
        <w:spacing w:after="60"/>
      </w:pPr>
      <w:r>
        <w:t xml:space="preserve">Links to FATF call for action countries, high-risk jurisdictions, sanctions or adverse media.</w:t>
      </w:r>
    </w:p>
    <w:p>
      <w:pPr>
        <w:pStyle w:val="ListParagraph"/>
        <w:numPr>
          <w:ilvl w:val="0"/>
          <w:numId w:val="2"/>
        </w:numPr>
        <w:spacing w:after="60"/>
      </w:pPr>
      <w:r>
        <w:t xml:space="preserve">Dormant company declarations that do not match the services requested.</w:t>
      </w:r>
    </w:p>
    <w:p>
      <w:r>
        <w:rPr>
          <w:color w:val="5F6663"/>
          <w:sz w:val="18"/>
          <w:szCs w:val="18"/>
        </w:rPr>
        <w:t xml:space="preserve">Based on HMRC AMLG3700 Risk assessment of accountancy service providers and AMLGAS Appendix D.</w:t>
      </w: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For accountants, failure to report includes suspicions about the client’s own tax evasion: the proceeds of tax evasion are criminal property under POCA. AMLGAS chapter 6 covers what must be reported and the privilege reporting exemption for relevant professional advisers.</w:t>
            </w:r>
          </w:p>
        </w:tc>
      </w:tr>
    </w:tbl>
    <w:p>
      <w:pPr>
        <w:spacing w:before="0" w:after="0"/>
      </w:pPr>
    </w:p>
    <w:p>
      <w:pPr>
        <w:pStyle w:val="Heading1"/>
      </w:pPr>
      <w:r>
        <w:t xml:space="preserve">6. Suspicious activity reporting</w:t>
      </w:r>
    </w:p>
    <w:p>
      <w:pPr>
        <w:spacing w:after="120"/>
      </w:pPr>
      <w:r>
        <w:t xml:space="preserve">Anyone who knows or suspects, or has reasonable grounds to know or suspect, money laundering or terrorist financing must report it to the MLRO as soon as practicable using </w:t>
      </w:r>
      <w:r>
        <w:rPr>
          <w:color w:val="0A7A52"/>
        </w:rPr>
        <w:t xml:space="preserve">[internal report form / location]</w:t>
      </w:r>
      <w:r>
        <w:t xml:space="preserve">. They must not tell the client or anyone else (tipping off is an offence under section 333A POCA).</w:t>
      </w:r>
    </w:p>
    <w:p>
      <w:pPr>
        <w:spacing w:after="120"/>
      </w:pPr>
      <w:r>
        <w:t xml:space="preserve">The MLRO considers each internal report and decides whether to submit a SAR to the NCA (regulation 21(5)). If we need to carry on work that could involve criminal property, the MLRO requests a DAML and we pause that work until consent is given or the notice period has passed. The MLRO records every internal report and decision, including the reasons for not reporting, and keeps SAR records separately from client files.</w:t>
      </w:r>
    </w:p>
    <w:p>
      <w:pPr>
        <w:pStyle w:val="Heading1"/>
      </w:pPr>
      <w:r>
        <w:t xml:space="preserve">7. Ongoing monitoring</w:t>
      </w:r>
    </w:p>
    <w:p>
      <w:pPr>
        <w:spacing w:after="120"/>
      </w:pPr>
      <w:r>
        <w:t xml:space="preserve">We monitor every client relationship (regulation 28(11)): we look at whether the work and transactions we see fit what we know about the client, and keep CDD information up to date. We review CDD </w:t>
      </w:r>
      <w:r>
        <w:rPr>
          <w:color w:val="0A7A52"/>
        </w:rPr>
        <w:t xml:space="preserve">[low risk: every [36]</w:t>
      </w:r>
      <w:r>
        <w:t xml:space="preserve"> months], </w:t>
      </w:r>
      <w:r>
        <w:rPr>
          <w:color w:val="0A7A52"/>
        </w:rPr>
        <w:t xml:space="preserve">[normal risk: every [24]</w:t>
      </w:r>
      <w:r>
        <w:t xml:space="preserve"> months], </w:t>
      </w:r>
      <w:r>
        <w:rPr>
          <w:color w:val="0A7A52"/>
        </w:rPr>
        <w:t xml:space="preserve">[high risk: every [12]</w:t>
      </w:r>
      <w:r>
        <w:t xml:space="preserve"> months], and whenever we notice a change, such as a new owner, director, activity or country.</w:t>
      </w:r>
    </w:p>
    <w:p>
      <w:pPr>
        <w:pStyle w:val="Heading1"/>
      </w:pPr>
      <w:r>
        <w:t xml:space="preserve">8. Training</w:t>
      </w:r>
    </w:p>
    <w:p>
      <w:pPr>
        <w:spacing w:after="120"/>
      </w:pPr>
      <w:r>
        <w:t xml:space="preserve">All relevant employees and subcontractors receive AML training on joining and at least every </w:t>
      </w:r>
      <w:r>
        <w:rPr>
          <w:color w:val="0A7A52"/>
        </w:rPr>
        <w:t xml:space="preserve">[12]</w:t>
      </w:r>
      <w:r>
        <w:t xml:space="preserve"> months (regulation 24), covering the law, this policy, red flags, reporting and data protection. We keep a log of dates, content and attendees.</w:t>
      </w:r>
    </w:p>
    <w:p>
      <w:pPr>
        <w:pStyle w:val="Heading1"/>
      </w:pPr>
      <w:r>
        <w:t xml:space="preserve">9. Employee screening</w:t>
      </w:r>
    </w:p>
    <w:p>
      <w:pPr>
        <w:spacing w:after="120"/>
      </w:pPr>
      <w:r>
        <w:t xml:space="preserve">We assess the skills, knowledge, conduct and integrity of relevant employees before appointment and during employment (regulation 21(1)(b)).</w:t>
      </w:r>
    </w:p>
    <w:p>
      <w:pPr>
        <w:pStyle w:val="Heading1"/>
      </w:pPr>
      <w:r>
        <w:t xml:space="preserve">10. Record keeping</w:t>
      </w:r>
    </w:p>
    <w:p>
      <w:pPr>
        <w:spacing w:after="120"/>
      </w:pPr>
      <w:r>
        <w:t xml:space="preserve">We keep copies of CDD documents and information, and records sufficient to reconstruct transactions, for </w:t>
      </w:r>
      <w:r>
        <w:rPr>
          <w:b/>
          <w:bCs/>
        </w:rPr>
        <w:t xml:space="preserve">five years</w:t>
      </w:r>
      <w:r>
        <w:t xml:space="preserve"> after the business relationship ends or the occasional transaction completes (regulation 40). Records of individual transactions within a relationship need not be kept for more than 10 years. After that we delete personal data unless we must keep it by law, for legal proceedings or with consent. We can answer law enforcement enquiries about relationships in the last five years quickly and fully (regulation 21(8)). Records are kept in </w:t>
      </w:r>
      <w:r>
        <w:rPr>
          <w:color w:val="0A7A52"/>
        </w:rPr>
        <w:t xml:space="preserve">[system]</w:t>
      </w:r>
      <w:r>
        <w:t xml:space="preserve"> with access limited to </w:t>
      </w:r>
      <w:r>
        <w:rPr>
          <w:color w:val="0A7A52"/>
        </w:rPr>
        <w:t xml:space="preserve">[roles]</w:t>
      </w:r>
      <w:r>
        <w:t xml:space="preserve">.</w:t>
      </w:r>
    </w:p>
    <w:p>
      <w:pPr>
        <w:pStyle w:val="Heading1"/>
      </w:pPr>
      <w:r>
        <w:t xml:space="preserve">11. New services and technology</w:t>
      </w:r>
    </w:p>
    <w:p>
      <w:pPr>
        <w:spacing w:after="120"/>
      </w:pPr>
      <w:r>
        <w:t xml:space="preserve">Before we launch a new service, delivery channel or technology, we assess its money laundering risk and update the practice-wide risk assessment and this policy (regulation 19(4)(c)).</w:t>
      </w:r>
    </w:p>
    <w:p>
      <w:pPr>
        <w:pStyle w:val="Heading1"/>
      </w:pPr>
      <w:r>
        <w:t xml:space="preserve">12. Monitoring compliance and review</w:t>
      </w:r>
    </w:p>
    <w:p>
      <w:pPr>
        <w:spacing w:after="120"/>
      </w:pPr>
      <w:r>
        <w:t xml:space="preserve">The </w:t>
      </w:r>
      <w:r>
        <w:rPr>
          <w:color w:val="0A7A52"/>
        </w:rPr>
        <w:t xml:space="preserve">[principal / MLRO]</w:t>
      </w:r>
      <w:r>
        <w:t xml:space="preserve"> reviews a sample of </w:t>
      </w:r>
      <w:r>
        <w:rPr>
          <w:color w:val="0A7A52"/>
        </w:rPr>
        <w:t xml:space="preserve">[number]</w:t>
      </w:r>
      <w:r>
        <w:t xml:space="preserve"> client files every </w:t>
      </w:r>
      <w:r>
        <w:rPr>
          <w:color w:val="0A7A52"/>
        </w:rPr>
        <w:t xml:space="preserve">[period]</w:t>
      </w:r>
      <w:r>
        <w:t xml:space="preserve">. </w:t>
      </w:r>
      <w:r>
        <w:rPr>
          <w:color w:val="0A7A52"/>
        </w:rPr>
        <w:t xml:space="preserve">[An independent review is carried out every [period]</w:t>
      </w:r>
      <w:r>
        <w:t xml:space="preserve">.] The MLRO reports to the principals at least annually on how this policy is working. We review this policy at least annually, when our risk assessment changes, and when the law or supervisor guidance changes, and we tell all staff about each update.</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1004"/>
        <w:gridCol w:w="1406"/>
        <w:gridCol w:w="1606"/>
        <w:gridCol w:w="4016"/>
        <w:gridCol w:w="1606"/>
      </w:tblGrid>
      <w:tr>
        <w:trPr>
          <w:cantSplit/>
          <w:tblHeader/>
        </w:trPr>
        <w:tc>
          <w:tcPr>
            <w:tcW w:type="dxa" w:w="1004"/>
            <w:shd w:fill="0E3B2C" w:color="auto" w:val="clear"/>
            <w:tcMar>
              <w:top w:type="dxa" w:w="70"/>
              <w:left w:type="dxa" w:w="100"/>
              <w:bottom w:type="dxa" w:w="70"/>
              <w:right w:type="dxa" w:w="100"/>
            </w:tcMar>
          </w:tcPr>
          <w:p>
            <w:pPr>
              <w:spacing w:before="0" w:after="0"/>
            </w:pPr>
            <w:r>
              <w:rPr>
                <w:b/>
                <w:bCs/>
                <w:color w:val="FFFFFF"/>
                <w:sz w:val="19"/>
                <w:szCs w:val="19"/>
              </w:rPr>
              <w:t xml:space="preserve">Version</w:t>
            </w:r>
          </w:p>
        </w:tc>
        <w:tc>
          <w:tcPr>
            <w:tcW w:type="dxa" w:w="1406"/>
            <w:shd w:fill="0E3B2C" w:color="auto" w:val="clear"/>
            <w:tcMar>
              <w:top w:type="dxa" w:w="70"/>
              <w:left w:type="dxa" w:w="100"/>
              <w:bottom w:type="dxa" w:w="70"/>
              <w:right w:type="dxa" w:w="100"/>
            </w:tcMar>
          </w:tcPr>
          <w:p>
            <w:pPr>
              <w:spacing w:before="0" w:after="0"/>
            </w:pPr>
            <w:r>
              <w:rPr>
                <w:b/>
                <w:bCs/>
                <w:color w:val="FFFFFF"/>
                <w:sz w:val="19"/>
                <w:szCs w:val="19"/>
              </w:rPr>
              <w:t xml:space="preserve">Date</w:t>
            </w:r>
          </w:p>
        </w:tc>
        <w:tc>
          <w:tcPr>
            <w:tcW w:type="dxa" w:w="1606"/>
            <w:shd w:fill="0E3B2C" w:color="auto" w:val="clear"/>
            <w:tcMar>
              <w:top w:type="dxa" w:w="70"/>
              <w:left w:type="dxa" w:w="100"/>
              <w:bottom w:type="dxa" w:w="70"/>
              <w:right w:type="dxa" w:w="100"/>
            </w:tcMar>
          </w:tcPr>
          <w:p>
            <w:pPr>
              <w:spacing w:before="0" w:after="0"/>
            </w:pPr>
            <w:r>
              <w:rPr>
                <w:b/>
                <w:bCs/>
                <w:color w:val="FFFFFF"/>
                <w:sz w:val="19"/>
                <w:szCs w:val="19"/>
              </w:rPr>
              <w:t xml:space="preserve">Reviewed by</w:t>
            </w:r>
          </w:p>
        </w:tc>
        <w:tc>
          <w:tcPr>
            <w:tcW w:type="dxa" w:w="4016"/>
            <w:shd w:fill="0E3B2C" w:color="auto" w:val="clear"/>
            <w:tcMar>
              <w:top w:type="dxa" w:w="70"/>
              <w:left w:type="dxa" w:w="100"/>
              <w:bottom w:type="dxa" w:w="70"/>
              <w:right w:type="dxa" w:w="100"/>
            </w:tcMar>
          </w:tcPr>
          <w:p>
            <w:pPr>
              <w:spacing w:before="0" w:after="0"/>
            </w:pPr>
            <w:r>
              <w:rPr>
                <w:b/>
                <w:bCs/>
                <w:color w:val="FFFFFF"/>
                <w:sz w:val="19"/>
                <w:szCs w:val="19"/>
              </w:rPr>
              <w:t xml:space="preserve">Summary of changes (or “no changes, still valid because…”)</w:t>
            </w:r>
          </w:p>
        </w:tc>
        <w:tc>
          <w:tcPr>
            <w:tcW w:type="dxa" w:w="1606"/>
            <w:shd w:fill="0E3B2C" w:color="auto" w:val="clear"/>
            <w:tcMar>
              <w:top w:type="dxa" w:w="70"/>
              <w:left w:type="dxa" w:w="100"/>
              <w:bottom w:type="dxa" w:w="70"/>
              <w:right w:type="dxa" w:w="100"/>
            </w:tcMar>
          </w:tcPr>
          <w:p>
            <w:pPr>
              <w:spacing w:before="0" w:after="0"/>
            </w:pPr>
            <w:r>
              <w:rPr>
                <w:b/>
                <w:bCs/>
                <w:color w:val="FFFFFF"/>
                <w:sz w:val="19"/>
                <w:szCs w:val="19"/>
              </w:rPr>
              <w:t xml:space="preserve">Approved by</w:t>
            </w:r>
          </w:p>
        </w:tc>
      </w:tr>
      <w:tr>
        <w:trPr>
          <w:cantSplit/>
        </w:trPr>
        <w:tc>
          <w:tcPr>
            <w:tcW w:type="dxa" w:w="1004"/>
            <w:tcMar>
              <w:top w:type="dxa" w:w="70"/>
              <w:left w:type="dxa" w:w="100"/>
              <w:bottom w:type="dxa" w:w="70"/>
              <w:right w:type="dxa" w:w="100"/>
            </w:tcMar>
          </w:tcPr>
          <w:p>
            <w:pPr>
              <w:spacing w:before="0" w:after="0"/>
            </w:pPr>
            <w:r>
              <w:rPr>
                <w:b w:val="false"/>
                <w:bCs w:val="false"/>
                <w:color w:val="0A7A52"/>
                <w:sz w:val="19"/>
                <w:szCs w:val="19"/>
              </w:rPr>
              <w:t xml:space="preserve">[1.0]</w:t>
            </w:r>
          </w:p>
        </w:tc>
        <w:tc>
          <w:tcPr>
            <w:tcW w:type="dxa" w:w="1406"/>
            <w:tcMar>
              <w:top w:type="dxa" w:w="70"/>
              <w:left w:type="dxa" w:w="100"/>
              <w:bottom w:type="dxa" w:w="70"/>
              <w:right w:type="dxa" w:w="100"/>
            </w:tcMar>
          </w:tcPr>
          <w:p>
            <w:pPr>
              <w:spacing w:before="0" w:after="0"/>
            </w:pPr>
            <w:r>
              <w:rPr>
                <w:b w:val="false"/>
                <w:bCs w:val="false"/>
                <w:color w:val="0A7A52"/>
                <w:sz w:val="19"/>
                <w:szCs w:val="19"/>
              </w:rPr>
              <w:t xml:space="preserve">[Date]</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[Name]</w:t>
            </w:r>
          </w:p>
        </w:tc>
        <w:tc>
          <w:tcPr>
            <w:tcW w:type="dxa" w:w="4016"/>
            <w:tcMar>
              <w:top w:type="dxa" w:w="70"/>
              <w:left w:type="dxa" w:w="100"/>
              <w:bottom w:type="dxa" w:w="70"/>
              <w:right w:type="dxa" w:w="100"/>
            </w:tcMar>
          </w:tcPr>
          <w:p>
            <w:pPr>
              <w:spacing w:before="0" w:after="0"/>
            </w:pPr>
            <w:r>
              <w:rPr>
                <w:b w:val="false"/>
                <w:bCs w:val="false"/>
                <w:color w:val="0A7A52"/>
                <w:sz w:val="19"/>
                <w:szCs w:val="19"/>
              </w:rPr>
              <w:t xml:space="preserve">[First version]</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[Name]</w:t>
            </w:r>
          </w:p>
        </w:tc>
      </w:tr>
      <w:tr>
        <w:trPr>
          <w:cantSplit/>
        </w:trPr>
        <w:tc>
          <w:tcPr>
            <w:tcW w:type="dxa" w:w="1004"/>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40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401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1004"/>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40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401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2"/>
      </w:pPr>
      <w:r>
        <w:t xml:space="preserve">Staff acknowledgement</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2410"/>
        <w:gridCol w:w="2410"/>
        <w:gridCol w:w="2410"/>
        <w:gridCol w:w="2410"/>
      </w:tblGrid>
      <w:tr>
        <w:trPr>
          <w:cantSplit/>
          <w:tblHeader/>
        </w:trPr>
        <w:tc>
          <w:tcPr>
            <w:tcW w:type="dxa" w:w="2410"/>
            <w:shd w:fill="0E3B2C" w:color="auto" w:val="clear"/>
            <w:tcMar>
              <w:top w:type="dxa" w:w="70"/>
              <w:left w:type="dxa" w:w="100"/>
              <w:bottom w:type="dxa" w:w="70"/>
              <w:right w:type="dxa" w:w="100"/>
            </w:tcMar>
          </w:tcPr>
          <w:p>
            <w:pPr>
              <w:spacing w:before="0" w:after="0"/>
            </w:pPr>
            <w:r>
              <w:rPr>
                <w:b/>
                <w:bCs/>
                <w:color w:val="FFFFFF"/>
                <w:sz w:val="19"/>
                <w:szCs w:val="19"/>
              </w:rPr>
              <w:t xml:space="preserve">Name</w:t>
            </w:r>
          </w:p>
        </w:tc>
        <w:tc>
          <w:tcPr>
            <w:tcW w:type="dxa" w:w="2410"/>
            <w:shd w:fill="0E3B2C" w:color="auto" w:val="clear"/>
            <w:tcMar>
              <w:top w:type="dxa" w:w="70"/>
              <w:left w:type="dxa" w:w="100"/>
              <w:bottom w:type="dxa" w:w="70"/>
              <w:right w:type="dxa" w:w="100"/>
            </w:tcMar>
          </w:tcPr>
          <w:p>
            <w:pPr>
              <w:spacing w:before="0" w:after="0"/>
            </w:pPr>
            <w:r>
              <w:rPr>
                <w:b/>
                <w:bCs/>
                <w:color w:val="FFFFFF"/>
                <w:sz w:val="19"/>
                <w:szCs w:val="19"/>
              </w:rPr>
              <w:t xml:space="preserve">Role</w:t>
            </w:r>
          </w:p>
        </w:tc>
        <w:tc>
          <w:tcPr>
            <w:tcW w:type="dxa" w:w="2410"/>
            <w:shd w:fill="0E3B2C" w:color="auto" w:val="clear"/>
            <w:tcMar>
              <w:top w:type="dxa" w:w="70"/>
              <w:left w:type="dxa" w:w="100"/>
              <w:bottom w:type="dxa" w:w="70"/>
              <w:right w:type="dxa" w:w="100"/>
            </w:tcMar>
          </w:tcPr>
          <w:p>
            <w:pPr>
              <w:spacing w:before="0" w:after="0"/>
            </w:pPr>
            <w:r>
              <w:rPr>
                <w:b/>
                <w:bCs/>
                <w:color w:val="FFFFFF"/>
                <w:sz w:val="19"/>
                <w:szCs w:val="19"/>
              </w:rPr>
              <w:t xml:space="preserve">Date read</w:t>
            </w:r>
          </w:p>
        </w:tc>
        <w:tc>
          <w:tcPr>
            <w:tcW w:type="dxa" w:w="2410"/>
            <w:shd w:fill="0E3B2C" w:color="auto" w:val="clear"/>
            <w:tcMar>
              <w:top w:type="dxa" w:w="70"/>
              <w:left w:type="dxa" w:w="100"/>
              <w:bottom w:type="dxa" w:w="70"/>
              <w:right w:type="dxa" w:w="100"/>
            </w:tcMar>
          </w:tcPr>
          <w:p>
            <w:pPr>
              <w:spacing w:before="0" w:after="0"/>
            </w:pPr>
            <w:r>
              <w:rPr>
                <w:b/>
                <w:bCs/>
                <w:color w:val="FFFFFF"/>
                <w:sz w:val="19"/>
                <w:szCs w:val="19"/>
              </w:rPr>
              <w:t xml:space="preserve">Signature</w:t>
            </w:r>
          </w:p>
        </w:tc>
      </w:tr>
      <w:tr>
        <w:trPr>
          <w:cantSplit/>
        </w:trPr>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2"/>
      </w:pPr>
      <w:r>
        <w:t xml:space="preserve">Sources</w:t>
      </w:r>
    </w:p>
    <w:p>
      <w:r>
        <w:rPr>
          <w:color w:val="5F6663"/>
          <w:sz w:val="18"/>
          <w:szCs w:val="18"/>
        </w:rPr>
        <w:t xml:space="preserve">Checked on 23 October 2026. Laws and guidance change: check the current versions before relying on this template.</w:t>
      </w:r>
    </w:p>
    <w:p>
      <w:pPr>
        <w:pStyle w:val="ListParagraph"/>
        <w:numPr>
          <w:ilvl w:val="0"/>
          <w:numId w:val="2"/>
        </w:numPr>
        <w:spacing w:after="60"/>
      </w:pPr>
      <w:r>
        <w:t xml:space="preserve">The Money Laundering, Terrorist Financing and Transfer of Funds (Information on the Payer) Regulations 2017 (SI 2017/692), as amended: legislation.gov.uk/uksi/2017/692</w:t>
      </w:r>
    </w:p>
    <w:p>
      <w:pPr>
        <w:pStyle w:val="ListParagraph"/>
        <w:numPr>
          <w:ilvl w:val="0"/>
          <w:numId w:val="2"/>
        </w:numPr>
        <w:spacing w:after="60"/>
      </w:pPr>
      <w:r>
        <w:t xml:space="preserve">The Money Laundering and Terrorist Financing (Amendment) Regulations 2026 (SI 2026/621): legislation.gov.uk/uksi/2026/621/made</w:t>
      </w:r>
    </w:p>
    <w:p>
      <w:pPr>
        <w:pStyle w:val="ListParagraph"/>
        <w:numPr>
          <w:ilvl w:val="0"/>
          <w:numId w:val="2"/>
        </w:numPr>
        <w:spacing w:after="60"/>
      </w:pPr>
      <w:r>
        <w:t xml:space="preserve">CCAB, Anti-Money Laundering and Counter-Terrorist Financing Guidance for the Accountancy Sector 2026 (law as at 1 July 2026): ccab.org.uk</w:t>
      </w:r>
    </w:p>
    <w:p>
      <w:pPr>
        <w:pStyle w:val="ListParagraph"/>
        <w:numPr>
          <w:ilvl w:val="0"/>
          <w:numId w:val="2"/>
        </w:numPr>
        <w:spacing w:after="60"/>
      </w:pPr>
      <w:r>
        <w:t xml:space="preserve">HMRC, Anti-money laundering guidance for supervised businesses (updated 13 October 2026): gov.uk/hmrc-internal-manuals/anti-money-laundering-guidance-for-supervised-businesses</w:t>
      </w:r>
    </w:p>
    <w:p>
      <w:pPr>
        <w:pStyle w:val="ListParagraph"/>
        <w:numPr>
          <w:ilvl w:val="0"/>
          <w:numId w:val="2"/>
        </w:numPr>
        <w:spacing w:after="60"/>
      </w:pPr>
      <w:r>
        <w:t xml:space="preserve">HMRC AMLG1800 Risk assessment and AMLG1900 Policies, controls and procedures</w:t>
      </w:r>
    </w:p>
    <w:p>
      <w:pPr>
        <w:pStyle w:val="ListParagraph"/>
        <w:numPr>
          <w:ilvl w:val="0"/>
          <w:numId w:val="2"/>
        </w:numPr>
        <w:spacing w:after="60"/>
      </w:pPr>
      <w:r>
        <w:t xml:space="preserve">HMRC AMLG3700 Risk assessment of accountancy service providers</w:t>
      </w:r>
    </w:p>
    <w:p>
      <w:pPr>
        <w:pStyle w:val="ListParagraph"/>
        <w:numPr>
          <w:ilvl w:val="0"/>
          <w:numId w:val="2"/>
        </w:numPr>
        <w:spacing w:after="60"/>
      </w:pPr>
      <w:r>
        <w:t xml:space="preserve">HMRC AMLG11300 to AMLG11700 (customer due diligence, identifying and verifying customers, ongoing monitoring, enhanced due diligence, source of funds and wealth, FATF call for action countries, PEPs, record keeping)</w:t>
      </w:r>
    </w:p>
    <w:p>
      <w:pPr>
        <w:pStyle w:val="ListParagraph"/>
        <w:numPr>
          <w:ilvl w:val="0"/>
          <w:numId w:val="2"/>
        </w:numPr>
        <w:spacing w:after="60"/>
      </w:pPr>
      <w:r>
        <w:t xml:space="preserve">FATF, High-risk jurisdictions subject to a call for action (check the latest publication): fatf-gafi.org</w:t>
      </w:r>
    </w:p>
    <w:p>
      <w:pPr>
        <w:pStyle w:val="ListParagraph"/>
        <w:numPr>
          <w:ilvl w:val="0"/>
          <w:numId w:val="2"/>
        </w:numPr>
        <w:spacing w:after="60"/>
      </w:pPr>
      <w:r>
        <w:t xml:space="preserve">HM Treasury and Home Office, National risk assessment of money laundering and terrorist financing 2025: gov.uk</w:t>
      </w:r>
    </w:p>
    <w:p>
      <w:pPr>
        <w:pStyle w:val="ListParagraph"/>
        <w:numPr>
          <w:ilvl w:val="0"/>
          <w:numId w:val="2"/>
        </w:numPr>
        <w:spacing w:after="60"/>
      </w:pPr>
      <w:r>
        <w:t xml:space="preserve">Proceeds of Crime Act 2002, Part 7, and Terrorism Act 2000, Part 3</w:t>
      </w:r>
    </w:p>
    <w:p>
      <w:pPr>
        <w:pStyle w:val="ListParagraph"/>
        <w:numPr>
          <w:ilvl w:val="0"/>
          <w:numId w:val="2"/>
        </w:numPr>
        <w:spacing w:after="60"/>
      </w:pPr>
      <w:r>
        <w:t xml:space="preserve">DSIT, UK digital identity and attributes trust framework and the DVS register; HM Treasury and DSIT, Using digital identities with the Money Laundering Regulations (February 2026): gov.uk</w:t>
      </w:r>
    </w:p>
    <w:sectPr>
      <w:headerReference w:type="default" r:id="rId6"/>
      <w:footerReference w:type="default" r:id="rId7"/>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5F6663"/>
        <w:sz w:val="16"/>
        <w:szCs w:val="16"/>
      </w:rPr>
      <w:t xml:space="preserve">AML policy and procedures   |   </w:t>
    </w:r>
    <w:r>
      <w:rPr>
        <w:color w:val="5F6663"/>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F6663"/>
        <w:sz w:val="16"/>
        <w:szCs w:val="16"/>
      </w:rPr>
      <w:t xml:space="preserve">AML Buddy — free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C2320"/>
        <w:sz w:val="20"/>
        <w:szCs w:val="20"/>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spacing w:after="80"/>
    </w:pPr>
    <w:rPr>
      <w:rFonts w:ascii="Arial" w:cs="Arial" w:eastAsia="Arial" w:hAnsi="Arial"/>
      <w:b/>
      <w:bCs/>
      <w:color w:val="0E3B2C"/>
      <w:sz w:val="44"/>
      <w:szCs w:val="44"/>
    </w:rPr>
  </w:style>
  <w:style w:type="paragraph" w:styleId="Heading1">
    <w:name w:val="Heading 1"/>
    <w:basedOn w:val="Normal"/>
    <w:next w:val="Normal"/>
    <w:qFormat/>
    <w:pPr>
      <w:keepNext/>
      <w:spacing w:before="360" w:after="140"/>
    </w:pPr>
    <w:rPr>
      <w:rFonts w:ascii="Arial" w:cs="Arial" w:eastAsia="Arial" w:hAnsi="Arial"/>
      <w:b/>
      <w:bCs/>
      <w:color w:val="0E3B2C"/>
      <w:sz w:val="30"/>
      <w:szCs w:val="30"/>
    </w:rPr>
  </w:style>
  <w:style w:type="paragraph" w:styleId="Heading2">
    <w:name w:val="Heading 2"/>
    <w:basedOn w:val="Normal"/>
    <w:next w:val="Normal"/>
    <w:qFormat/>
    <w:pPr>
      <w:keepNext/>
      <w:spacing w:before="280" w:after="100"/>
    </w:pPr>
    <w:rPr>
      <w:rFonts w:ascii="Arial" w:cs="Arial" w:eastAsia="Arial" w:hAnsi="Arial"/>
      <w:b/>
      <w:bCs/>
      <w:color w:val="0E3B2C"/>
      <w:sz w:val="25"/>
      <w:szCs w:val="25"/>
    </w:rPr>
  </w:style>
  <w:style w:type="paragraph" w:styleId="Heading3">
    <w:name w:val="Heading 3"/>
    <w:basedOn w:val="Normal"/>
    <w:next w:val="Normal"/>
    <w:qFormat/>
    <w:pPr>
      <w:keepNext/>
      <w:spacing w:before="200" w:after="80"/>
    </w:pPr>
    <w:rPr>
      <w:rFonts w:ascii="Arial" w:cs="Arial" w:eastAsia="Arial" w:hAnsi="Arial"/>
      <w:b/>
      <w:bCs/>
      <w:color w:val="0A7A52"/>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AML policy and procedures</dc:title>
  <dc:creator>AML Buddy</dc:creator>
  <dc:description>Template for a small accountancy, bookkeeping or tax practice (MLR 2017, regulations 19 to 24)</dc:description>
  <cp:lastModifiedBy>Un-named</cp:lastModifiedBy>
  <cp:revision>1</cp:revision>
  <dcterms:created xsi:type="dcterms:W3CDTF">2026-10-23T18:27:28.328Z</dcterms:created>
  <dcterms:modified xsi:type="dcterms:W3CDTF">2026-10-23T18:27:28.328Z</dcterms:modified>
</cp:coreProperties>
</file>

<file path=docProps/custom.xml><?xml version="1.0" encoding="utf-8"?>
<Properties xmlns="http://schemas.openxmlformats.org/officeDocument/2006/custom-properties" xmlns:vt="http://schemas.openxmlformats.org/officeDocument/2006/docPropsVTypes"/>
</file>